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EC81" w14:textId="25FB4B4B" w:rsidR="00DE7F18" w:rsidRPr="00DE7F18" w:rsidRDefault="00DE7F18" w:rsidP="00DE7F18">
      <w:pPr>
        <w:pStyle w:val="Listaconnmeros"/>
        <w:numPr>
          <w:ilvl w:val="0"/>
          <w:numId w:val="0"/>
        </w:numPr>
        <w:tabs>
          <w:tab w:val="clear" w:pos="1515"/>
        </w:tabs>
        <w:spacing w:after="160" w:line="259" w:lineRule="auto"/>
        <w:ind w:left="360"/>
        <w:jc w:val="center"/>
        <w:rPr>
          <w:b/>
          <w:bCs/>
          <w:lang w:val="en-US"/>
        </w:rPr>
      </w:pPr>
      <w:r w:rsidRPr="00DE7F18">
        <w:rPr>
          <w:b/>
          <w:bCs/>
          <w:lang w:val="en-US"/>
        </w:rPr>
        <w:t>CAR AND RUoC PUBLIC CONSULTATION SUMMARY</w:t>
      </w:r>
    </w:p>
    <w:p w14:paraId="3484514A" w14:textId="69120D0D" w:rsidR="00DE7F18" w:rsidRDefault="00DE7F18" w:rsidP="00DE7F18">
      <w:pPr>
        <w:pStyle w:val="Listaconnmeros"/>
        <w:numPr>
          <w:ilvl w:val="0"/>
          <w:numId w:val="0"/>
        </w:numPr>
        <w:tabs>
          <w:tab w:val="clear" w:pos="1515"/>
        </w:tabs>
        <w:spacing w:after="160" w:line="259" w:lineRule="auto"/>
        <w:ind w:left="360"/>
        <w:jc w:val="center"/>
        <w:rPr>
          <w:lang w:val="en-US"/>
        </w:rPr>
      </w:pPr>
    </w:p>
    <w:p w14:paraId="748B990A" w14:textId="21BFD013" w:rsidR="00DE7F18" w:rsidRDefault="00DE7F18" w:rsidP="00B56BAD">
      <w:pPr>
        <w:pStyle w:val="Listaconnmeros"/>
        <w:numPr>
          <w:ilvl w:val="0"/>
          <w:numId w:val="0"/>
        </w:numPr>
        <w:tabs>
          <w:tab w:val="clear" w:pos="1515"/>
        </w:tabs>
        <w:spacing w:after="160" w:line="259" w:lineRule="auto"/>
        <w:ind w:left="426"/>
        <w:rPr>
          <w:lang w:val="en-US"/>
        </w:rPr>
      </w:pPr>
      <w:r>
        <w:rPr>
          <w:lang w:val="en-US"/>
        </w:rPr>
        <w:t xml:space="preserve">The revised CAR 2.3 and the new RUoC 1.0 went through public consultation in August – September 2020. For this it was prepared a spreadsheet with all the clauses in the documents differentiated by a color code pointing out which ones of the sections in the CAR and RUoC are new or modified from the previous version of the CAR 2.2. In this way stakeholder were able to make comments per clause. </w:t>
      </w:r>
    </w:p>
    <w:p w14:paraId="569E2631" w14:textId="622FED4A" w:rsidR="00DE7F18" w:rsidRDefault="00DE7F18" w:rsidP="00B56BAD">
      <w:pPr>
        <w:pStyle w:val="Listaconnmeros"/>
        <w:numPr>
          <w:ilvl w:val="0"/>
          <w:numId w:val="0"/>
        </w:numPr>
        <w:tabs>
          <w:tab w:val="clear" w:pos="1515"/>
        </w:tabs>
        <w:spacing w:after="160" w:line="259" w:lineRule="auto"/>
        <w:ind w:left="426"/>
        <w:rPr>
          <w:lang w:val="en-US"/>
        </w:rPr>
      </w:pPr>
    </w:p>
    <w:p w14:paraId="63AF0CF1" w14:textId="6CA22F05" w:rsidR="00DE7F18" w:rsidRDefault="00DE7F18" w:rsidP="00B56BAD">
      <w:pPr>
        <w:pStyle w:val="Listaconnmeros"/>
        <w:numPr>
          <w:ilvl w:val="0"/>
          <w:numId w:val="0"/>
        </w:numPr>
        <w:tabs>
          <w:tab w:val="clear" w:pos="1515"/>
        </w:tabs>
        <w:spacing w:after="160" w:line="259" w:lineRule="auto"/>
        <w:ind w:left="426"/>
        <w:rPr>
          <w:lang w:val="en-US"/>
        </w:rPr>
      </w:pPr>
      <w:r>
        <w:rPr>
          <w:lang w:val="en-US"/>
        </w:rPr>
        <w:t>In addition to the spreadsheet, ASC prepared a survey with questions of subjects that might be part of the revised CAR and RUoC.</w:t>
      </w:r>
    </w:p>
    <w:p w14:paraId="24F2B92C" w14:textId="2C8F29B1" w:rsidR="00DE7F18" w:rsidRDefault="00DE7F18" w:rsidP="00B56BAD">
      <w:pPr>
        <w:pStyle w:val="Listaconnmeros"/>
        <w:numPr>
          <w:ilvl w:val="0"/>
          <w:numId w:val="0"/>
        </w:numPr>
        <w:tabs>
          <w:tab w:val="clear" w:pos="1515"/>
        </w:tabs>
        <w:spacing w:after="160" w:line="259" w:lineRule="auto"/>
        <w:ind w:left="426"/>
        <w:rPr>
          <w:lang w:val="en-US"/>
        </w:rPr>
      </w:pPr>
    </w:p>
    <w:p w14:paraId="13F39032" w14:textId="77777777" w:rsidR="00B56BAD" w:rsidRPr="00B404FA" w:rsidRDefault="00B56BAD" w:rsidP="00B56BAD">
      <w:pPr>
        <w:pStyle w:val="Body"/>
        <w:ind w:left="426"/>
        <w:rPr>
          <w:rStyle w:val="NoneA"/>
        </w:rPr>
      </w:pPr>
      <w:r>
        <w:rPr>
          <w:rStyle w:val="NoneA"/>
          <w:rFonts w:eastAsia="Arial Unicode MS" w:cs="Arial Unicode MS"/>
        </w:rPr>
        <w:t xml:space="preserve">The public consultation had the participation of CABs, producers, NGOs, </w:t>
      </w:r>
      <w:proofErr w:type="gramStart"/>
      <w:r>
        <w:rPr>
          <w:rStyle w:val="NoneA"/>
          <w:rFonts w:eastAsia="Arial Unicode MS" w:cs="Arial Unicode MS"/>
        </w:rPr>
        <w:t>auditors</w:t>
      </w:r>
      <w:proofErr w:type="gramEnd"/>
      <w:r>
        <w:rPr>
          <w:rStyle w:val="NoneA"/>
          <w:rFonts w:eastAsia="Arial Unicode MS" w:cs="Arial Unicode MS"/>
        </w:rPr>
        <w:t xml:space="preserve"> and others. </w:t>
      </w:r>
      <w:r w:rsidRPr="006C16F9">
        <w:rPr>
          <w:lang w:val="en-US"/>
        </w:rPr>
        <w:t>Additionally, were conducted webinars for pr</w:t>
      </w:r>
      <w:r>
        <w:rPr>
          <w:lang w:val="en-US"/>
        </w:rPr>
        <w:t xml:space="preserve">oducers organized together with sustainability initiatives as Global Salmon Initiative (GSI), Sustainable Shrimp Partnership (SSP) and an open webinar for farmers in Vietnam. </w:t>
      </w:r>
    </w:p>
    <w:p w14:paraId="01EF85FD" w14:textId="77777777" w:rsidR="00B56BAD" w:rsidRDefault="00B56BAD" w:rsidP="00B56BAD">
      <w:pPr>
        <w:pStyle w:val="Body"/>
        <w:ind w:left="426"/>
        <w:rPr>
          <w:rStyle w:val="NoneA"/>
          <w:rFonts w:eastAsia="Arial Unicode MS" w:cs="Arial Unicode MS"/>
        </w:rPr>
      </w:pPr>
    </w:p>
    <w:p w14:paraId="5CF3FABF" w14:textId="77777777" w:rsidR="00B56BAD" w:rsidRPr="00B404FA" w:rsidRDefault="00B56BAD" w:rsidP="00B56BAD">
      <w:pPr>
        <w:pStyle w:val="Body"/>
        <w:ind w:left="426"/>
        <w:rPr>
          <w:rFonts w:eastAsia="Arial Unicode MS" w:cs="Arial Unicode MS"/>
          <w:lang w:val="en-US"/>
        </w:rPr>
      </w:pPr>
      <w:r>
        <w:rPr>
          <w:rStyle w:val="NoneA"/>
          <w:rFonts w:eastAsia="Arial Unicode MS" w:cs="Arial Unicode MS"/>
        </w:rPr>
        <w:t>The following is the participation by type of stakeholder.</w:t>
      </w:r>
    </w:p>
    <w:p w14:paraId="16E7684E" w14:textId="77777777" w:rsidR="00B56BAD" w:rsidRPr="00B404FA" w:rsidRDefault="00B56BAD" w:rsidP="00B56BAD">
      <w:pPr>
        <w:pStyle w:val="Body"/>
        <w:rPr>
          <w:lang w:val="en-US"/>
        </w:rPr>
      </w:pPr>
    </w:p>
    <w:tbl>
      <w:tblPr>
        <w:tblStyle w:val="TableNormal"/>
        <w:tblW w:w="8973"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7"/>
        <w:gridCol w:w="568"/>
        <w:gridCol w:w="1134"/>
        <w:gridCol w:w="804"/>
        <w:gridCol w:w="938"/>
        <w:gridCol w:w="1250"/>
        <w:gridCol w:w="970"/>
        <w:gridCol w:w="946"/>
        <w:gridCol w:w="946"/>
      </w:tblGrid>
      <w:tr w:rsidR="00B56BAD" w14:paraId="0834C8D1" w14:textId="77777777" w:rsidTr="00B56BAD">
        <w:trPr>
          <w:trHeight w:val="44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2691" w14:textId="77777777" w:rsidR="00B56BAD" w:rsidRPr="00B56BAD" w:rsidRDefault="00B56BAD" w:rsidP="00874B61">
            <w:pPr>
              <w:rPr>
                <w:lang w:val="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96549" w14:textId="77777777" w:rsidR="00B56BAD" w:rsidRDefault="00B56BAD" w:rsidP="00874B61">
            <w:pPr>
              <w:pStyle w:val="Body"/>
            </w:pPr>
            <w:r>
              <w:rPr>
                <w:rFonts w:eastAsia="Arial Unicode MS" w:cs="Arial Unicode MS"/>
                <w:lang w:val="en-US"/>
              </w:rPr>
              <w:t>CABs</w:t>
            </w:r>
          </w:p>
          <w:p w14:paraId="725F8ED6" w14:textId="77777777" w:rsidR="00B56BAD" w:rsidRDefault="00B56BAD" w:rsidP="00874B61">
            <w:pPr>
              <w:pStyle w:val="Body"/>
            </w:pPr>
            <w:r>
              <w:rPr>
                <w:lang w:val="en-US"/>
              </w:rPr>
              <w:t>ASI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A88B" w14:textId="77777777" w:rsidR="00B56BAD" w:rsidRDefault="00B56BAD" w:rsidP="00874B61">
            <w:pPr>
              <w:pStyle w:val="Body"/>
            </w:pPr>
            <w:r>
              <w:rPr>
                <w:rFonts w:eastAsia="Arial Unicode MS" w:cs="Arial Unicode MS"/>
                <w:lang w:val="en-US"/>
              </w:rPr>
              <w:t>Producers</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9BFA0" w14:textId="77777777" w:rsidR="00B56BAD" w:rsidRDefault="00B56BAD" w:rsidP="00874B61">
            <w:pPr>
              <w:pStyle w:val="Body"/>
            </w:pPr>
            <w:r>
              <w:rPr>
                <w:rFonts w:eastAsia="Arial Unicode MS" w:cs="Arial Unicode MS"/>
                <w:lang w:val="en-US"/>
              </w:rPr>
              <w:t>Supply Chain</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942E0" w14:textId="77777777" w:rsidR="00B56BAD" w:rsidRDefault="00B56BAD" w:rsidP="00874B61">
            <w:pPr>
              <w:pStyle w:val="Body"/>
            </w:pPr>
            <w:r>
              <w:rPr>
                <w:rFonts w:eastAsia="Arial Unicode MS" w:cs="Arial Unicode MS"/>
                <w:lang w:val="en-US"/>
              </w:rPr>
              <w:t>NGOs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7EFD" w14:textId="77777777" w:rsidR="00B56BAD" w:rsidRDefault="00B56BAD" w:rsidP="00874B61">
            <w:pPr>
              <w:pStyle w:val="Body"/>
            </w:pPr>
            <w:r>
              <w:rPr>
                <w:rFonts w:eastAsia="Arial Unicode MS" w:cs="Arial Unicode MS"/>
                <w:lang w:val="en-US"/>
              </w:rPr>
              <w:t>Universities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943E" w14:textId="77777777" w:rsidR="00B56BAD" w:rsidRDefault="00B56BAD" w:rsidP="00874B61">
            <w:pPr>
              <w:pStyle w:val="Body"/>
            </w:pPr>
            <w:r>
              <w:rPr>
                <w:rFonts w:eastAsia="Arial Unicode MS" w:cs="Arial Unicode MS"/>
                <w:lang w:val="en-US"/>
              </w:rPr>
              <w:t>Auditors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6CA50" w14:textId="77777777" w:rsidR="00B56BAD" w:rsidRDefault="00B56BAD" w:rsidP="00874B61">
            <w:pPr>
              <w:pStyle w:val="Body"/>
            </w:pPr>
            <w:r>
              <w:rPr>
                <w:rFonts w:eastAsia="Arial Unicode MS" w:cs="Arial Unicode MS"/>
                <w:lang w:val="en-US"/>
              </w:rPr>
              <w:t>Others</w:t>
            </w:r>
          </w:p>
        </w:tc>
        <w:tc>
          <w:tcPr>
            <w:tcW w:w="946" w:type="dxa"/>
            <w:tcBorders>
              <w:top w:val="single" w:sz="4" w:space="0" w:color="000000"/>
              <w:left w:val="single" w:sz="4" w:space="0" w:color="000000"/>
              <w:bottom w:val="single" w:sz="4" w:space="0" w:color="000000"/>
              <w:right w:val="single" w:sz="4" w:space="0" w:color="000000"/>
            </w:tcBorders>
          </w:tcPr>
          <w:p w14:paraId="111C5D52" w14:textId="77777777" w:rsidR="00B56BAD" w:rsidRDefault="00B56BAD" w:rsidP="00874B61">
            <w:pPr>
              <w:pStyle w:val="Body"/>
              <w:rPr>
                <w:rFonts w:eastAsia="Arial Unicode MS" w:cs="Arial Unicode MS"/>
                <w:lang w:val="en-US"/>
              </w:rPr>
            </w:pPr>
            <w:r>
              <w:rPr>
                <w:rFonts w:eastAsia="Arial Unicode MS" w:cs="Arial Unicode MS"/>
                <w:lang w:val="en-US"/>
              </w:rPr>
              <w:t>Total</w:t>
            </w:r>
          </w:p>
        </w:tc>
      </w:tr>
      <w:tr w:rsidR="00B56BAD" w14:paraId="26BCA7DC" w14:textId="77777777" w:rsidTr="00B56BAD">
        <w:trPr>
          <w:trHeight w:val="44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8ABFA" w14:textId="77777777" w:rsidR="00B56BAD" w:rsidRDefault="00B56BAD" w:rsidP="00874B61">
            <w:pPr>
              <w:pStyle w:val="Body"/>
            </w:pPr>
            <w:r>
              <w:rPr>
                <w:rFonts w:eastAsia="Arial Unicode MS" w:cs="Arial Unicode MS"/>
                <w:lang w:val="en-US"/>
              </w:rPr>
              <w:t>ASC CAR spreadsheet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7C8D" w14:textId="77777777" w:rsidR="00B56BAD" w:rsidRDefault="00B56BAD" w:rsidP="00874B61">
            <w:pPr>
              <w:pStyle w:val="Body"/>
            </w:pPr>
            <w:r>
              <w:rPr>
                <w:rFonts w:eastAsia="Arial Unicode MS" w:cs="Arial Unicode MS"/>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E1E6" w14:textId="77777777" w:rsidR="00B56BAD" w:rsidRDefault="00B56BAD" w:rsidP="00874B61">
            <w:pPr>
              <w:pStyle w:val="Body"/>
            </w:pPr>
            <w:r>
              <w:rPr>
                <w:rFonts w:eastAsia="Arial Unicode MS" w:cs="Arial Unicode MS"/>
                <w:lang w:val="en-US"/>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F02A1" w14:textId="77777777" w:rsidR="00B56BAD" w:rsidRDefault="00B56BAD" w:rsidP="00874B61">
            <w:pPr>
              <w:pStyle w:val="Body"/>
            </w:pPr>
            <w:r>
              <w:rPr>
                <w:rFonts w:eastAsia="Arial Unicode MS" w:cs="Arial Unicode MS"/>
                <w:lang w:val="en-US"/>
              </w:rP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4BEAB" w14:textId="77777777" w:rsidR="00B56BAD" w:rsidRDefault="00B56BAD" w:rsidP="00874B61">
            <w:pPr>
              <w:pStyle w:val="Body"/>
            </w:pPr>
            <w:r>
              <w:rPr>
                <w:rFonts w:eastAsia="Arial Unicode MS" w:cs="Arial Unicode MS"/>
                <w:lang w:val="en-US"/>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37A57" w14:textId="77777777" w:rsidR="00B56BAD" w:rsidRDefault="00B56BAD" w:rsidP="00874B61">
            <w:pPr>
              <w:pStyle w:val="Body"/>
            </w:pPr>
            <w:r>
              <w:rPr>
                <w:rFonts w:eastAsia="Arial Unicode MS" w:cs="Arial Unicode MS"/>
                <w:lang w:val="en-US"/>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3BBD" w14:textId="77777777" w:rsidR="00B56BAD" w:rsidRDefault="00B56BAD" w:rsidP="00874B61">
            <w:pPr>
              <w:pStyle w:val="Body"/>
            </w:pPr>
            <w:r>
              <w:rPr>
                <w:rFonts w:eastAsia="Arial Unicode MS" w:cs="Arial Unicode MS"/>
                <w:lang w:val="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59D39" w14:textId="77777777" w:rsidR="00B56BAD" w:rsidRDefault="00B56BAD" w:rsidP="00874B61">
            <w:pPr>
              <w:pStyle w:val="Body"/>
            </w:pPr>
            <w:r>
              <w:rPr>
                <w:rFonts w:eastAsia="Arial Unicode MS" w:cs="Arial Unicode MS"/>
                <w:lang w:val="en-US"/>
              </w:rPr>
              <w:t>1</w:t>
            </w:r>
          </w:p>
        </w:tc>
        <w:tc>
          <w:tcPr>
            <w:tcW w:w="946" w:type="dxa"/>
            <w:tcBorders>
              <w:top w:val="single" w:sz="4" w:space="0" w:color="000000"/>
              <w:left w:val="single" w:sz="4" w:space="0" w:color="000000"/>
              <w:bottom w:val="single" w:sz="4" w:space="0" w:color="000000"/>
              <w:right w:val="single" w:sz="4" w:space="0" w:color="000000"/>
            </w:tcBorders>
          </w:tcPr>
          <w:p w14:paraId="1FCD6C33" w14:textId="77777777" w:rsidR="00B56BAD" w:rsidRDefault="00B56BAD" w:rsidP="00874B61">
            <w:pPr>
              <w:pStyle w:val="Body"/>
              <w:rPr>
                <w:rFonts w:eastAsia="Arial Unicode MS" w:cs="Arial Unicode MS"/>
                <w:lang w:val="en-US"/>
              </w:rPr>
            </w:pPr>
            <w:r>
              <w:rPr>
                <w:rFonts w:eastAsia="Arial Unicode MS" w:cs="Arial Unicode MS"/>
                <w:lang w:val="en-US"/>
              </w:rPr>
              <w:t>17</w:t>
            </w:r>
          </w:p>
        </w:tc>
      </w:tr>
      <w:tr w:rsidR="00B56BAD" w14:paraId="2AA9114F" w14:textId="77777777" w:rsidTr="00B56BAD">
        <w:trPr>
          <w:trHeight w:val="44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079C4" w14:textId="77777777" w:rsidR="00B56BAD" w:rsidRDefault="00B56BAD" w:rsidP="00874B61">
            <w:pPr>
              <w:pStyle w:val="Body"/>
            </w:pPr>
            <w:r>
              <w:rPr>
                <w:rFonts w:eastAsia="Arial Unicode MS" w:cs="Arial Unicode MS"/>
                <w:lang w:val="en-US"/>
              </w:rPr>
              <w:t>ASC RUoC Spreadsheet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1BB0" w14:textId="77777777" w:rsidR="00B56BAD" w:rsidRDefault="00B56BAD" w:rsidP="00874B61">
            <w:pPr>
              <w:pStyle w:val="Body"/>
            </w:pPr>
            <w:r>
              <w:rPr>
                <w:rFonts w:eastAsia="Arial Unicode MS" w:cs="Arial Unicode MS"/>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ED5A" w14:textId="77777777" w:rsidR="00B56BAD" w:rsidRDefault="00B56BAD" w:rsidP="00874B61">
            <w:pPr>
              <w:pStyle w:val="Body"/>
            </w:pPr>
            <w:r>
              <w:rPr>
                <w:rFonts w:eastAsia="Arial Unicode MS" w:cs="Arial Unicode MS"/>
                <w:lang w:val="en-US"/>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7B4D" w14:textId="77777777" w:rsidR="00B56BAD" w:rsidRDefault="00B56BAD" w:rsidP="00874B61">
            <w:pPr>
              <w:pStyle w:val="Body"/>
            </w:pPr>
            <w:r>
              <w:rPr>
                <w:rFonts w:eastAsia="Arial Unicode MS" w:cs="Arial Unicode MS"/>
                <w:lang w:val="en-US"/>
              </w:rP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F824" w14:textId="77777777" w:rsidR="00B56BAD" w:rsidRDefault="00B56BAD" w:rsidP="00874B61">
            <w:pPr>
              <w:pStyle w:val="Body"/>
            </w:pPr>
            <w:r>
              <w:rPr>
                <w:rFonts w:eastAsia="Arial Unicode MS" w:cs="Arial Unicode MS"/>
                <w:lang w:val="en-US"/>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3546" w14:textId="77777777" w:rsidR="00B56BAD" w:rsidRDefault="00B56BAD" w:rsidP="00874B61">
            <w:pPr>
              <w:pStyle w:val="Body"/>
            </w:pPr>
            <w:r>
              <w:rPr>
                <w:rFonts w:eastAsia="Arial Unicode MS" w:cs="Arial Unicode MS"/>
                <w:lang w:val="en-US"/>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A11E" w14:textId="77777777" w:rsidR="00B56BAD" w:rsidRDefault="00B56BAD" w:rsidP="00874B61">
            <w:pPr>
              <w:pStyle w:val="Body"/>
            </w:pPr>
            <w:r>
              <w:rPr>
                <w:rFonts w:eastAsia="Arial Unicode MS" w:cs="Arial Unicode MS"/>
                <w:lang w:val="en-U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A87B" w14:textId="77777777" w:rsidR="00B56BAD" w:rsidRDefault="00B56BAD" w:rsidP="00874B61">
            <w:pPr>
              <w:pStyle w:val="Body"/>
            </w:pPr>
            <w:r>
              <w:rPr>
                <w:rFonts w:eastAsia="Arial Unicode MS" w:cs="Arial Unicode MS"/>
                <w:lang w:val="en-US"/>
              </w:rPr>
              <w:t>1</w:t>
            </w:r>
          </w:p>
        </w:tc>
        <w:tc>
          <w:tcPr>
            <w:tcW w:w="946" w:type="dxa"/>
            <w:tcBorders>
              <w:top w:val="single" w:sz="4" w:space="0" w:color="000000"/>
              <w:left w:val="single" w:sz="4" w:space="0" w:color="000000"/>
              <w:bottom w:val="single" w:sz="4" w:space="0" w:color="000000"/>
              <w:right w:val="single" w:sz="4" w:space="0" w:color="000000"/>
            </w:tcBorders>
          </w:tcPr>
          <w:p w14:paraId="47D75372" w14:textId="77777777" w:rsidR="00B56BAD" w:rsidRDefault="00B56BAD" w:rsidP="00874B61">
            <w:pPr>
              <w:pStyle w:val="Body"/>
              <w:rPr>
                <w:rFonts w:eastAsia="Arial Unicode MS" w:cs="Arial Unicode MS"/>
                <w:lang w:val="en-US"/>
              </w:rPr>
            </w:pPr>
            <w:r>
              <w:rPr>
                <w:rFonts w:eastAsia="Arial Unicode MS" w:cs="Arial Unicode MS"/>
                <w:lang w:val="en-US"/>
              </w:rPr>
              <w:t>18</w:t>
            </w:r>
          </w:p>
        </w:tc>
      </w:tr>
      <w:tr w:rsidR="00B56BAD" w14:paraId="71C47C4B" w14:textId="77777777" w:rsidTr="00B56BAD">
        <w:trPr>
          <w:trHeight w:val="22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D5D2" w14:textId="77777777" w:rsidR="00B56BAD" w:rsidRDefault="00B56BAD" w:rsidP="00874B61">
            <w:pPr>
              <w:pStyle w:val="Body"/>
            </w:pPr>
            <w:r>
              <w:rPr>
                <w:rFonts w:eastAsia="Arial Unicode MS" w:cs="Arial Unicode MS"/>
                <w:lang w:val="en-US"/>
              </w:rPr>
              <w:t>Survey</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B621" w14:textId="77777777" w:rsidR="00B56BAD" w:rsidRDefault="00B56BAD" w:rsidP="00874B61">
            <w:pPr>
              <w:pStyle w:val="Body"/>
            </w:pPr>
            <w:r>
              <w:rPr>
                <w:rFonts w:eastAsia="Arial Unicode MS" w:cs="Arial Unicode MS"/>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3C57D" w14:textId="77777777" w:rsidR="00B56BAD" w:rsidRDefault="00B56BAD" w:rsidP="00874B61">
            <w:pPr>
              <w:pStyle w:val="Body"/>
            </w:pPr>
            <w:r>
              <w:rPr>
                <w:rFonts w:eastAsia="Arial Unicode MS" w:cs="Arial Unicode MS"/>
                <w:lang w:val="en-US"/>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1A69" w14:textId="77777777" w:rsidR="00B56BAD" w:rsidRDefault="00B56BAD" w:rsidP="00874B61">
            <w:pPr>
              <w:pStyle w:val="Body"/>
            </w:pPr>
            <w:r>
              <w:rPr>
                <w:rFonts w:eastAsia="Arial Unicode MS" w:cs="Arial Unicode MS"/>
                <w:lang w:val="en-US"/>
              </w:rPr>
              <w:t>3</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E0B5A" w14:textId="77777777" w:rsidR="00B56BAD" w:rsidRDefault="00B56BAD" w:rsidP="00874B61">
            <w:pPr>
              <w:pStyle w:val="Body"/>
            </w:pPr>
            <w:r>
              <w:rPr>
                <w:rFonts w:eastAsia="Arial Unicode MS" w:cs="Arial Unicode MS"/>
                <w:lang w:val="en-US"/>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67A66" w14:textId="77777777" w:rsidR="00B56BAD" w:rsidRDefault="00B56BAD" w:rsidP="00874B61">
            <w:pPr>
              <w:pStyle w:val="Body"/>
            </w:pPr>
            <w:r>
              <w:rPr>
                <w:rFonts w:eastAsia="Arial Unicode MS" w:cs="Arial Unicode MS"/>
                <w:lang w:val="en-US"/>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7AE4" w14:textId="77777777" w:rsidR="00B56BAD" w:rsidRDefault="00B56BAD" w:rsidP="00874B61">
            <w:pPr>
              <w:pStyle w:val="Body"/>
            </w:pPr>
            <w:r>
              <w:rPr>
                <w:rFonts w:eastAsia="Arial Unicode MS" w:cs="Arial Unicode MS"/>
                <w:lang w:val="en-US"/>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13C84" w14:textId="77777777" w:rsidR="00B56BAD" w:rsidRDefault="00B56BAD" w:rsidP="00874B61">
            <w:pPr>
              <w:pStyle w:val="Body"/>
            </w:pPr>
            <w:r>
              <w:rPr>
                <w:rFonts w:eastAsia="Arial Unicode MS" w:cs="Arial Unicode MS"/>
                <w:lang w:val="en-US"/>
              </w:rPr>
              <w:t>-</w:t>
            </w:r>
          </w:p>
        </w:tc>
        <w:tc>
          <w:tcPr>
            <w:tcW w:w="946" w:type="dxa"/>
            <w:tcBorders>
              <w:top w:val="single" w:sz="4" w:space="0" w:color="000000"/>
              <w:left w:val="single" w:sz="4" w:space="0" w:color="000000"/>
              <w:bottom w:val="single" w:sz="4" w:space="0" w:color="000000"/>
              <w:right w:val="single" w:sz="4" w:space="0" w:color="000000"/>
            </w:tcBorders>
          </w:tcPr>
          <w:p w14:paraId="360B7CEE" w14:textId="77777777" w:rsidR="00B56BAD" w:rsidRDefault="00B56BAD" w:rsidP="00874B61">
            <w:pPr>
              <w:pStyle w:val="Body"/>
              <w:rPr>
                <w:rFonts w:eastAsia="Arial Unicode MS" w:cs="Arial Unicode MS"/>
                <w:lang w:val="en-US"/>
              </w:rPr>
            </w:pPr>
            <w:r>
              <w:rPr>
                <w:rFonts w:eastAsia="Arial Unicode MS" w:cs="Arial Unicode MS"/>
                <w:lang w:val="en-US"/>
              </w:rPr>
              <w:t>19</w:t>
            </w:r>
          </w:p>
        </w:tc>
      </w:tr>
      <w:tr w:rsidR="00B56BAD" w14:paraId="6E4F02D0" w14:textId="77777777" w:rsidTr="00B56BAD">
        <w:trPr>
          <w:trHeight w:val="22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2E2D" w14:textId="77777777" w:rsidR="00B56BAD" w:rsidRDefault="00B56BAD" w:rsidP="00874B61">
            <w:pPr>
              <w:pStyle w:val="Body"/>
              <w:rPr>
                <w:rFonts w:eastAsia="Arial Unicode MS" w:cs="Arial Unicode MS"/>
                <w:lang w:val="en-US"/>
              </w:rPr>
            </w:pPr>
            <w:r>
              <w:rPr>
                <w:rFonts w:eastAsia="Arial Unicode MS" w:cs="Arial Unicode MS"/>
                <w:lang w:val="en-US"/>
              </w:rPr>
              <w:t>Webinars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4199" w14:textId="77777777" w:rsidR="00B56BAD" w:rsidRDefault="00B56BAD" w:rsidP="00874B61">
            <w:pPr>
              <w:pStyle w:val="Body"/>
              <w:rPr>
                <w:rFonts w:eastAsia="Arial Unicode MS" w:cs="Arial Unicode MS"/>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26ED6" w14:textId="77777777" w:rsidR="00B56BAD" w:rsidRDefault="00B56BAD" w:rsidP="00874B61">
            <w:pPr>
              <w:pStyle w:val="Body"/>
              <w:rPr>
                <w:rFonts w:eastAsia="Arial Unicode MS" w:cs="Arial Unicode MS"/>
                <w:lang w:val="en-US"/>
              </w:rPr>
            </w:pPr>
            <w:r>
              <w:rPr>
                <w:rFonts w:eastAsia="Arial Unicode MS" w:cs="Arial Unicode MS"/>
                <w:lang w:val="en-US"/>
              </w:rPr>
              <w:t>GSI: 9</w:t>
            </w:r>
          </w:p>
          <w:p w14:paraId="0482E315" w14:textId="77777777" w:rsidR="00B56BAD" w:rsidRDefault="00B56BAD" w:rsidP="00874B61">
            <w:pPr>
              <w:pStyle w:val="Body"/>
              <w:rPr>
                <w:rFonts w:eastAsia="Arial Unicode MS" w:cs="Arial Unicode MS"/>
                <w:lang w:val="en-US"/>
              </w:rPr>
            </w:pPr>
            <w:r>
              <w:rPr>
                <w:rFonts w:eastAsia="Arial Unicode MS" w:cs="Arial Unicode MS"/>
                <w:lang w:val="en-US"/>
              </w:rPr>
              <w:t>SSP: 11</w:t>
            </w:r>
          </w:p>
          <w:p w14:paraId="2C4E6037" w14:textId="77777777" w:rsidR="00B56BAD" w:rsidRDefault="00B56BAD" w:rsidP="00874B61">
            <w:pPr>
              <w:pStyle w:val="Body"/>
              <w:rPr>
                <w:rFonts w:eastAsia="Arial Unicode MS" w:cs="Arial Unicode MS"/>
                <w:lang w:val="en-US"/>
              </w:rPr>
            </w:pPr>
            <w:r>
              <w:rPr>
                <w:rFonts w:eastAsia="Arial Unicode MS" w:cs="Arial Unicode MS"/>
                <w:lang w:val="en-US"/>
              </w:rPr>
              <w:t>VN: 4</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F1AD" w14:textId="77777777" w:rsidR="00B56BAD" w:rsidRDefault="00B56BAD" w:rsidP="00874B61">
            <w:pPr>
              <w:pStyle w:val="Body"/>
              <w:rPr>
                <w:rFonts w:eastAsia="Arial Unicode MS" w:cs="Arial Unicode MS"/>
                <w:lang w:val="en-US"/>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4F90" w14:textId="77777777" w:rsidR="00B56BAD" w:rsidRDefault="00B56BAD" w:rsidP="00874B61">
            <w:pPr>
              <w:pStyle w:val="Body"/>
              <w:rPr>
                <w:rFonts w:eastAsia="Arial Unicode MS" w:cs="Arial Unicode MS"/>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23FB8" w14:textId="77777777" w:rsidR="00B56BAD" w:rsidRDefault="00B56BAD" w:rsidP="00874B61">
            <w:pPr>
              <w:pStyle w:val="Body"/>
              <w:rPr>
                <w:rFonts w:eastAsia="Arial Unicode MS" w:cs="Arial Unicode MS"/>
                <w:lang w:val="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7212" w14:textId="77777777" w:rsidR="00B56BAD" w:rsidRDefault="00B56BAD" w:rsidP="00874B61">
            <w:pPr>
              <w:pStyle w:val="Body"/>
              <w:rPr>
                <w:rFonts w:eastAsia="Arial Unicode MS" w:cs="Arial Unicode MS"/>
                <w:lang w:val="en-U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2308" w14:textId="77777777" w:rsidR="00B56BAD" w:rsidRDefault="00B56BAD" w:rsidP="00874B61">
            <w:pPr>
              <w:pStyle w:val="Body"/>
              <w:rPr>
                <w:rFonts w:eastAsia="Arial Unicode MS" w:cs="Arial Unicode MS"/>
                <w:lang w:val="en-US"/>
              </w:rPr>
            </w:pPr>
          </w:p>
        </w:tc>
        <w:tc>
          <w:tcPr>
            <w:tcW w:w="946" w:type="dxa"/>
            <w:tcBorders>
              <w:top w:val="single" w:sz="4" w:space="0" w:color="000000"/>
              <w:left w:val="single" w:sz="4" w:space="0" w:color="000000"/>
              <w:bottom w:val="single" w:sz="4" w:space="0" w:color="000000"/>
              <w:right w:val="single" w:sz="4" w:space="0" w:color="000000"/>
            </w:tcBorders>
          </w:tcPr>
          <w:p w14:paraId="2108EBE9" w14:textId="77777777" w:rsidR="00B56BAD" w:rsidRDefault="00B56BAD" w:rsidP="00874B61">
            <w:pPr>
              <w:pStyle w:val="Body"/>
              <w:rPr>
                <w:rFonts w:eastAsia="Arial Unicode MS" w:cs="Arial Unicode MS"/>
                <w:lang w:val="en-US"/>
              </w:rPr>
            </w:pPr>
            <w:r>
              <w:rPr>
                <w:rFonts w:eastAsia="Arial Unicode MS" w:cs="Arial Unicode MS"/>
                <w:lang w:val="en-US"/>
              </w:rPr>
              <w:t>24</w:t>
            </w:r>
          </w:p>
        </w:tc>
      </w:tr>
    </w:tbl>
    <w:p w14:paraId="0B3F413F" w14:textId="0B3DF1E6" w:rsidR="00B56BAD" w:rsidRDefault="00B56BAD" w:rsidP="00DE7F18">
      <w:pPr>
        <w:pStyle w:val="Listaconnmeros"/>
        <w:numPr>
          <w:ilvl w:val="0"/>
          <w:numId w:val="0"/>
        </w:numPr>
        <w:tabs>
          <w:tab w:val="clear" w:pos="1515"/>
        </w:tabs>
        <w:spacing w:after="160" w:line="259" w:lineRule="auto"/>
        <w:ind w:left="360"/>
        <w:rPr>
          <w:lang w:val="en-US"/>
        </w:rPr>
      </w:pPr>
    </w:p>
    <w:p w14:paraId="6275A9CB" w14:textId="77777777" w:rsidR="00B56BAD" w:rsidRDefault="00B56BAD" w:rsidP="00DE7F18">
      <w:pPr>
        <w:pStyle w:val="Listaconnmeros"/>
        <w:numPr>
          <w:ilvl w:val="0"/>
          <w:numId w:val="0"/>
        </w:numPr>
        <w:tabs>
          <w:tab w:val="clear" w:pos="1515"/>
        </w:tabs>
        <w:spacing w:after="160" w:line="259" w:lineRule="auto"/>
        <w:ind w:left="360"/>
        <w:rPr>
          <w:lang w:val="en-US"/>
        </w:rPr>
      </w:pPr>
    </w:p>
    <w:p w14:paraId="626C4455" w14:textId="3B97CAD4" w:rsidR="00DE7F18" w:rsidRDefault="00DE7F18" w:rsidP="00DE7F18">
      <w:pPr>
        <w:pStyle w:val="Listaconnmeros"/>
        <w:numPr>
          <w:ilvl w:val="0"/>
          <w:numId w:val="0"/>
        </w:numPr>
        <w:tabs>
          <w:tab w:val="clear" w:pos="1515"/>
        </w:tabs>
        <w:spacing w:after="160" w:line="259" w:lineRule="auto"/>
        <w:ind w:left="360"/>
        <w:rPr>
          <w:lang w:val="en-US"/>
        </w:rPr>
      </w:pPr>
      <w:r>
        <w:rPr>
          <w:lang w:val="en-US"/>
        </w:rPr>
        <w:t>The following is an extraction of the comments that triggered changes in the CAR clauses or considered valuable to be included in the guidance of these normative documents when they are final.</w:t>
      </w:r>
      <w:r w:rsidR="003C26DE">
        <w:rPr>
          <w:lang w:val="en-US"/>
        </w:rPr>
        <w:t xml:space="preserve"> Typos or wording clarification are not included in this summary.</w:t>
      </w:r>
    </w:p>
    <w:p w14:paraId="494CECD9" w14:textId="788F1258" w:rsidR="003C26DE" w:rsidRDefault="003C26DE" w:rsidP="00DE7F18">
      <w:pPr>
        <w:pStyle w:val="Listaconnmeros"/>
        <w:numPr>
          <w:ilvl w:val="0"/>
          <w:numId w:val="0"/>
        </w:numPr>
        <w:tabs>
          <w:tab w:val="clear" w:pos="1515"/>
        </w:tabs>
        <w:spacing w:after="160" w:line="259" w:lineRule="auto"/>
        <w:ind w:left="360"/>
        <w:rPr>
          <w:lang w:val="en-US"/>
        </w:rPr>
      </w:pPr>
    </w:p>
    <w:p w14:paraId="2B13B416" w14:textId="2AA984DA" w:rsidR="00B81DE7" w:rsidRDefault="00B81DE7" w:rsidP="003903D5">
      <w:pPr>
        <w:pStyle w:val="Listaconnmeros"/>
        <w:numPr>
          <w:ilvl w:val="0"/>
          <w:numId w:val="0"/>
        </w:numPr>
        <w:tabs>
          <w:tab w:val="clear" w:pos="1515"/>
        </w:tabs>
        <w:spacing w:after="160" w:line="259" w:lineRule="auto"/>
        <w:rPr>
          <w:b/>
          <w:bCs/>
          <w:lang w:val="en-US"/>
        </w:rPr>
      </w:pPr>
    </w:p>
    <w:p w14:paraId="445A5D89" w14:textId="0ECC33E2" w:rsidR="00B81DE7" w:rsidRPr="00B81DE7" w:rsidRDefault="00B81DE7" w:rsidP="00B81DE7">
      <w:pPr>
        <w:pStyle w:val="Listaconnmeros"/>
        <w:numPr>
          <w:ilvl w:val="0"/>
          <w:numId w:val="0"/>
        </w:numPr>
        <w:tabs>
          <w:tab w:val="clear" w:pos="1515"/>
        </w:tabs>
        <w:spacing w:after="160" w:line="259" w:lineRule="auto"/>
        <w:ind w:left="360"/>
        <w:rPr>
          <w:b/>
          <w:bCs/>
          <w:lang w:val="en-US"/>
        </w:rPr>
      </w:pPr>
      <w:r>
        <w:rPr>
          <w:b/>
          <w:bCs/>
          <w:lang w:val="en-US"/>
        </w:rPr>
        <w:t>Normative references</w:t>
      </w:r>
    </w:p>
    <w:p w14:paraId="598350B2" w14:textId="3B80EE03" w:rsidR="003C26DE" w:rsidRDefault="00B81DE7" w:rsidP="00DE7F18">
      <w:pPr>
        <w:pStyle w:val="Listaconnmeros"/>
        <w:numPr>
          <w:ilvl w:val="0"/>
          <w:numId w:val="0"/>
        </w:numPr>
        <w:tabs>
          <w:tab w:val="clear" w:pos="1515"/>
        </w:tabs>
        <w:spacing w:after="160" w:line="259" w:lineRule="auto"/>
        <w:ind w:left="360"/>
        <w:rPr>
          <w:lang w:val="en-US"/>
        </w:rPr>
      </w:pPr>
      <w:r>
        <w:rPr>
          <w:lang w:val="en-US"/>
        </w:rPr>
        <w:t xml:space="preserve">- </w:t>
      </w:r>
      <w:r w:rsidRPr="00B81DE7">
        <w:rPr>
          <w:lang w:val="en-US"/>
        </w:rPr>
        <w:t>ISO 9001 Auditing Practices Group Guidance on: REMOTE AUDITS</w:t>
      </w:r>
      <w:r>
        <w:rPr>
          <w:lang w:val="en-US"/>
        </w:rPr>
        <w:t xml:space="preserve"> </w:t>
      </w:r>
      <w:r w:rsidR="003D79F0">
        <w:rPr>
          <w:lang w:val="en-US"/>
        </w:rPr>
        <w:t>do</w:t>
      </w:r>
      <w:r>
        <w:rPr>
          <w:lang w:val="en-US"/>
        </w:rPr>
        <w:t xml:space="preserve"> not cover the possibility of recording when signal for life streaming is not sufficient.</w:t>
      </w:r>
    </w:p>
    <w:p w14:paraId="5D35C958" w14:textId="41129F09" w:rsidR="00B81DE7" w:rsidRDefault="00B81DE7" w:rsidP="00DE7F18">
      <w:pPr>
        <w:pStyle w:val="Listaconnmeros"/>
        <w:numPr>
          <w:ilvl w:val="0"/>
          <w:numId w:val="0"/>
        </w:numPr>
        <w:tabs>
          <w:tab w:val="clear" w:pos="1515"/>
        </w:tabs>
        <w:spacing w:after="160" w:line="259" w:lineRule="auto"/>
        <w:ind w:left="360"/>
        <w:rPr>
          <w:lang w:val="en-US"/>
        </w:rPr>
      </w:pPr>
    </w:p>
    <w:p w14:paraId="026BFC08" w14:textId="1DB9054C" w:rsidR="00B81DE7" w:rsidRDefault="00B81DE7" w:rsidP="00DE7F18">
      <w:pPr>
        <w:pStyle w:val="Listaconnmeros"/>
        <w:numPr>
          <w:ilvl w:val="0"/>
          <w:numId w:val="0"/>
        </w:numPr>
        <w:tabs>
          <w:tab w:val="clear" w:pos="1515"/>
        </w:tabs>
        <w:spacing w:after="160" w:line="259" w:lineRule="auto"/>
        <w:ind w:left="360"/>
        <w:rPr>
          <w:lang w:val="en-US"/>
        </w:rPr>
      </w:pPr>
      <w:r>
        <w:rPr>
          <w:lang w:val="en-US"/>
        </w:rPr>
        <w:t xml:space="preserve">Clause 16.8 allows the use of photographs and videos which are verifiable to </w:t>
      </w:r>
      <w:r w:rsidR="003D79F0">
        <w:rPr>
          <w:lang w:val="en-US"/>
        </w:rPr>
        <w:t>belong</w:t>
      </w:r>
      <w:r>
        <w:rPr>
          <w:lang w:val="en-US"/>
        </w:rPr>
        <w:t xml:space="preserve"> to the UoC. (</w:t>
      </w:r>
      <w:proofErr w:type="gramStart"/>
      <w:r>
        <w:rPr>
          <w:lang w:val="en-US"/>
        </w:rPr>
        <w:t>e.g.</w:t>
      </w:r>
      <w:proofErr w:type="gramEnd"/>
      <w:r>
        <w:rPr>
          <w:lang w:val="en-US"/>
        </w:rPr>
        <w:t xml:space="preserve"> geotagging)</w:t>
      </w:r>
    </w:p>
    <w:p w14:paraId="38C41670" w14:textId="78016EB6" w:rsidR="00B81DE7" w:rsidRDefault="00B81DE7" w:rsidP="00DE7F18">
      <w:pPr>
        <w:pStyle w:val="Listaconnmeros"/>
        <w:numPr>
          <w:ilvl w:val="0"/>
          <w:numId w:val="0"/>
        </w:numPr>
        <w:tabs>
          <w:tab w:val="clear" w:pos="1515"/>
        </w:tabs>
        <w:spacing w:after="160" w:line="259" w:lineRule="auto"/>
        <w:ind w:left="360"/>
        <w:rPr>
          <w:lang w:val="en-US"/>
        </w:rPr>
      </w:pPr>
    </w:p>
    <w:p w14:paraId="6A0127C9" w14:textId="3685B8DF" w:rsidR="00B81DE7" w:rsidRPr="00E200A0" w:rsidRDefault="0084476D" w:rsidP="00DE7F18">
      <w:pPr>
        <w:pStyle w:val="Listaconnmeros"/>
        <w:numPr>
          <w:ilvl w:val="0"/>
          <w:numId w:val="0"/>
        </w:numPr>
        <w:tabs>
          <w:tab w:val="clear" w:pos="1515"/>
        </w:tabs>
        <w:spacing w:after="160" w:line="259" w:lineRule="auto"/>
        <w:ind w:left="360"/>
        <w:rPr>
          <w:b/>
          <w:bCs/>
          <w:lang w:val="en-US"/>
        </w:rPr>
      </w:pPr>
      <w:r>
        <w:rPr>
          <w:b/>
          <w:bCs/>
          <w:lang w:val="en-US"/>
        </w:rPr>
        <w:t>Requirement</w:t>
      </w:r>
      <w:r w:rsidR="00AD6A31">
        <w:rPr>
          <w:b/>
          <w:bCs/>
          <w:lang w:val="en-US"/>
        </w:rPr>
        <w:t xml:space="preserve">s </w:t>
      </w:r>
      <w:r>
        <w:rPr>
          <w:b/>
          <w:bCs/>
          <w:lang w:val="en-US"/>
        </w:rPr>
        <w:t>of accreditation</w:t>
      </w:r>
    </w:p>
    <w:p w14:paraId="733B9C47" w14:textId="3166272B" w:rsidR="00E200A0" w:rsidRDefault="00E200A0" w:rsidP="00DE7F18">
      <w:pPr>
        <w:pStyle w:val="Listaconnmeros"/>
        <w:numPr>
          <w:ilvl w:val="0"/>
          <w:numId w:val="0"/>
        </w:numPr>
        <w:tabs>
          <w:tab w:val="clear" w:pos="1515"/>
        </w:tabs>
        <w:spacing w:after="160" w:line="259" w:lineRule="auto"/>
        <w:ind w:left="360"/>
        <w:rPr>
          <w:lang w:val="en-US"/>
        </w:rPr>
      </w:pPr>
      <w:r>
        <w:rPr>
          <w:lang w:val="en-US"/>
        </w:rPr>
        <w:t>- Confidentiality at ASI assessment reports publicly available.</w:t>
      </w:r>
    </w:p>
    <w:p w14:paraId="36F95B7D" w14:textId="5DDA2496" w:rsidR="00E200A0" w:rsidRDefault="00E200A0" w:rsidP="00DE7F18">
      <w:pPr>
        <w:pStyle w:val="Listaconnmeros"/>
        <w:numPr>
          <w:ilvl w:val="0"/>
          <w:numId w:val="0"/>
        </w:numPr>
        <w:tabs>
          <w:tab w:val="clear" w:pos="1515"/>
        </w:tabs>
        <w:spacing w:after="160" w:line="259" w:lineRule="auto"/>
        <w:ind w:left="360"/>
        <w:rPr>
          <w:lang w:val="en-US"/>
        </w:rPr>
      </w:pPr>
      <w:r>
        <w:rPr>
          <w:lang w:val="en-US"/>
        </w:rPr>
        <w:t>- ISO 19011 as a normative document.</w:t>
      </w:r>
    </w:p>
    <w:p w14:paraId="14BA7C7D" w14:textId="20046452" w:rsidR="00E200A0" w:rsidRDefault="00E200A0" w:rsidP="00DE7F18">
      <w:pPr>
        <w:pStyle w:val="Listaconnmeros"/>
        <w:numPr>
          <w:ilvl w:val="0"/>
          <w:numId w:val="0"/>
        </w:numPr>
        <w:tabs>
          <w:tab w:val="clear" w:pos="1515"/>
        </w:tabs>
        <w:spacing w:after="160" w:line="259" w:lineRule="auto"/>
        <w:ind w:left="360"/>
        <w:rPr>
          <w:lang w:val="en-US"/>
        </w:rPr>
      </w:pPr>
    </w:p>
    <w:p w14:paraId="638958C1" w14:textId="2033E664" w:rsidR="00E200A0" w:rsidRDefault="00E200A0" w:rsidP="00DE7F18">
      <w:pPr>
        <w:pStyle w:val="Listaconnmeros"/>
        <w:numPr>
          <w:ilvl w:val="0"/>
          <w:numId w:val="0"/>
        </w:numPr>
        <w:tabs>
          <w:tab w:val="clear" w:pos="1515"/>
        </w:tabs>
        <w:spacing w:after="160" w:line="259" w:lineRule="auto"/>
        <w:ind w:left="360"/>
        <w:rPr>
          <w:lang w:val="en-US"/>
        </w:rPr>
      </w:pPr>
      <w:r>
        <w:rPr>
          <w:lang w:val="en-US"/>
        </w:rPr>
        <w:t>ASI maintains confidentiality agreements with each CAB and names of auditors shall not be in the public reports.</w:t>
      </w:r>
    </w:p>
    <w:p w14:paraId="021A5AE1" w14:textId="167A4636" w:rsidR="00E200A0" w:rsidRDefault="00E200A0" w:rsidP="00DE7F18">
      <w:pPr>
        <w:pStyle w:val="Listaconnmeros"/>
        <w:numPr>
          <w:ilvl w:val="0"/>
          <w:numId w:val="0"/>
        </w:numPr>
        <w:tabs>
          <w:tab w:val="clear" w:pos="1515"/>
        </w:tabs>
        <w:spacing w:after="160" w:line="259" w:lineRule="auto"/>
        <w:ind w:left="360"/>
        <w:rPr>
          <w:lang w:val="en-US"/>
        </w:rPr>
      </w:pPr>
      <w:r>
        <w:rPr>
          <w:lang w:val="en-US"/>
        </w:rPr>
        <w:t>ASC decided to make ISO 19011 mandatory to standardize auditing practices that could be not followed if it is considered a recommendation.</w:t>
      </w:r>
    </w:p>
    <w:p w14:paraId="6BE433D8" w14:textId="63D7301A" w:rsidR="00E200A0" w:rsidRDefault="00E200A0" w:rsidP="00DE7F18">
      <w:pPr>
        <w:pStyle w:val="Listaconnmeros"/>
        <w:numPr>
          <w:ilvl w:val="0"/>
          <w:numId w:val="0"/>
        </w:numPr>
        <w:tabs>
          <w:tab w:val="clear" w:pos="1515"/>
        </w:tabs>
        <w:spacing w:after="160" w:line="259" w:lineRule="auto"/>
        <w:ind w:left="360"/>
        <w:rPr>
          <w:lang w:val="en-US"/>
        </w:rPr>
      </w:pPr>
    </w:p>
    <w:p w14:paraId="515D2FE2" w14:textId="77777777" w:rsidR="00E200A0" w:rsidRDefault="00E200A0" w:rsidP="00DE7F18">
      <w:pPr>
        <w:pStyle w:val="Listaconnmeros"/>
        <w:numPr>
          <w:ilvl w:val="0"/>
          <w:numId w:val="0"/>
        </w:numPr>
        <w:tabs>
          <w:tab w:val="clear" w:pos="1515"/>
        </w:tabs>
        <w:spacing w:after="160" w:line="259" w:lineRule="auto"/>
        <w:ind w:left="360"/>
        <w:rPr>
          <w:lang w:val="en-US"/>
        </w:rPr>
      </w:pPr>
    </w:p>
    <w:p w14:paraId="6E5CD305" w14:textId="6F1DD1CA" w:rsidR="00E200A0" w:rsidRPr="00AD6A31" w:rsidRDefault="0084476D" w:rsidP="00DE7F18">
      <w:pPr>
        <w:pStyle w:val="Listaconnmeros"/>
        <w:numPr>
          <w:ilvl w:val="0"/>
          <w:numId w:val="0"/>
        </w:numPr>
        <w:tabs>
          <w:tab w:val="clear" w:pos="1515"/>
        </w:tabs>
        <w:spacing w:after="160" w:line="259" w:lineRule="auto"/>
        <w:ind w:left="360"/>
        <w:rPr>
          <w:b/>
          <w:bCs/>
          <w:lang w:val="en-US"/>
        </w:rPr>
      </w:pPr>
      <w:r w:rsidRPr="00AD6A31">
        <w:rPr>
          <w:b/>
          <w:bCs/>
          <w:lang w:val="en-US"/>
        </w:rPr>
        <w:lastRenderedPageBreak/>
        <w:t>CAB personnel</w:t>
      </w:r>
    </w:p>
    <w:p w14:paraId="31C93F97" w14:textId="3DDBCBE6" w:rsidR="00B81DE7" w:rsidRDefault="00E200A0" w:rsidP="00DE7F18">
      <w:pPr>
        <w:pStyle w:val="Listaconnmeros"/>
        <w:numPr>
          <w:ilvl w:val="0"/>
          <w:numId w:val="0"/>
        </w:numPr>
        <w:tabs>
          <w:tab w:val="clear" w:pos="1515"/>
        </w:tabs>
        <w:spacing w:after="160" w:line="259" w:lineRule="auto"/>
        <w:ind w:left="360"/>
        <w:rPr>
          <w:lang w:val="en-US"/>
        </w:rPr>
      </w:pPr>
      <w:r>
        <w:rPr>
          <w:lang w:val="en-US"/>
        </w:rPr>
        <w:t xml:space="preserve">- </w:t>
      </w:r>
      <w:r w:rsidR="0084476D">
        <w:rPr>
          <w:lang w:val="en-US"/>
        </w:rPr>
        <w:t>The limitation to use lead auditors no more than 3 consecutive audits for the same UoC can cause confusion as there might be other audits during the year, as unannounced audits. Also is not clear if this requirement will limit the auditor only when is a lead auditor or in any role in the audit team.</w:t>
      </w:r>
    </w:p>
    <w:p w14:paraId="342A09BA" w14:textId="4CCA0B33" w:rsidR="0084476D" w:rsidRDefault="0084476D" w:rsidP="00DE7F18">
      <w:pPr>
        <w:pStyle w:val="Listaconnmeros"/>
        <w:numPr>
          <w:ilvl w:val="0"/>
          <w:numId w:val="0"/>
        </w:numPr>
        <w:tabs>
          <w:tab w:val="clear" w:pos="1515"/>
        </w:tabs>
        <w:spacing w:after="160" w:line="259" w:lineRule="auto"/>
        <w:ind w:left="360"/>
        <w:rPr>
          <w:lang w:val="en-US"/>
        </w:rPr>
      </w:pPr>
      <w:r>
        <w:rPr>
          <w:lang w:val="en-US"/>
        </w:rPr>
        <w:t xml:space="preserve">- There are limitations to have sufficient lead auditors to rotate them to comply with this </w:t>
      </w:r>
      <w:r w:rsidR="00F84B50">
        <w:rPr>
          <w:lang w:val="en-US"/>
        </w:rPr>
        <w:t>requirement</w:t>
      </w:r>
      <w:r>
        <w:rPr>
          <w:lang w:val="en-US"/>
        </w:rPr>
        <w:t>.</w:t>
      </w:r>
    </w:p>
    <w:p w14:paraId="468090E6" w14:textId="631BAA34" w:rsidR="0084476D" w:rsidRDefault="0084476D" w:rsidP="00DE7F18">
      <w:pPr>
        <w:pStyle w:val="Listaconnmeros"/>
        <w:numPr>
          <w:ilvl w:val="0"/>
          <w:numId w:val="0"/>
        </w:numPr>
        <w:tabs>
          <w:tab w:val="clear" w:pos="1515"/>
        </w:tabs>
        <w:spacing w:after="160" w:line="259" w:lineRule="auto"/>
        <w:ind w:left="360"/>
        <w:rPr>
          <w:lang w:val="en-US"/>
        </w:rPr>
      </w:pPr>
    </w:p>
    <w:p w14:paraId="375D7677" w14:textId="28A50E9D" w:rsidR="0084476D" w:rsidRDefault="0084476D" w:rsidP="00DE7F18">
      <w:pPr>
        <w:pStyle w:val="Listaconnmeros"/>
        <w:numPr>
          <w:ilvl w:val="0"/>
          <w:numId w:val="0"/>
        </w:numPr>
        <w:tabs>
          <w:tab w:val="clear" w:pos="1515"/>
        </w:tabs>
        <w:spacing w:after="160" w:line="259" w:lineRule="auto"/>
        <w:ind w:left="360"/>
        <w:rPr>
          <w:lang w:val="en-US"/>
        </w:rPr>
      </w:pPr>
      <w:r>
        <w:rPr>
          <w:lang w:val="en-US"/>
        </w:rPr>
        <w:t xml:space="preserve">In clause 7.1.4 is changed </w:t>
      </w:r>
      <w:proofErr w:type="gramStart"/>
      <w:r>
        <w:rPr>
          <w:lang w:val="en-US"/>
        </w:rPr>
        <w:t>“ 3</w:t>
      </w:r>
      <w:proofErr w:type="gramEnd"/>
      <w:r>
        <w:rPr>
          <w:lang w:val="en-US"/>
        </w:rPr>
        <w:t xml:space="preserve"> consecutive audits” to “3 consecutive calendar years”</w:t>
      </w:r>
      <w:r w:rsidR="00AD6A31">
        <w:rPr>
          <w:lang w:val="en-US"/>
        </w:rPr>
        <w:t xml:space="preserve"> </w:t>
      </w:r>
      <w:r>
        <w:rPr>
          <w:lang w:val="en-US"/>
        </w:rPr>
        <w:t xml:space="preserve">and clause </w:t>
      </w:r>
      <w:r w:rsidR="00AD6A31">
        <w:rPr>
          <w:lang w:val="en-US"/>
        </w:rPr>
        <w:t>7.1.4.1 will allow CABs to assess the risk of familiarity  when there are no other auditors to change the lead auditor when reaches the 3 consecutive calendar year limiting auditing the same UoC. It is the CAB responsibility to implement measures to mitigate the conflict of interests risks when there is only one auditor available in the region.</w:t>
      </w:r>
    </w:p>
    <w:p w14:paraId="71BEA772" w14:textId="5A23E99C" w:rsidR="00AE4C55" w:rsidRDefault="00AE4C55" w:rsidP="003903D5">
      <w:pPr>
        <w:pStyle w:val="Listaconnmeros"/>
        <w:numPr>
          <w:ilvl w:val="0"/>
          <w:numId w:val="0"/>
        </w:numPr>
        <w:tabs>
          <w:tab w:val="clear" w:pos="1515"/>
        </w:tabs>
        <w:spacing w:after="160" w:line="259" w:lineRule="auto"/>
        <w:rPr>
          <w:b/>
          <w:bCs/>
          <w:lang w:val="en-US"/>
        </w:rPr>
      </w:pPr>
    </w:p>
    <w:p w14:paraId="2EC5EA4D" w14:textId="18C0E5F0" w:rsidR="00AE4C55" w:rsidRDefault="00AE4C55" w:rsidP="00DE7F18">
      <w:pPr>
        <w:pStyle w:val="Listaconnmeros"/>
        <w:numPr>
          <w:ilvl w:val="0"/>
          <w:numId w:val="0"/>
        </w:numPr>
        <w:tabs>
          <w:tab w:val="clear" w:pos="1515"/>
        </w:tabs>
        <w:spacing w:after="160" w:line="259" w:lineRule="auto"/>
        <w:ind w:left="360"/>
        <w:rPr>
          <w:b/>
          <w:bCs/>
          <w:lang w:val="en-US"/>
        </w:rPr>
      </w:pPr>
      <w:r>
        <w:rPr>
          <w:b/>
          <w:bCs/>
          <w:lang w:val="en-US"/>
        </w:rPr>
        <w:t>Information for applicants</w:t>
      </w:r>
    </w:p>
    <w:p w14:paraId="2DA98E85" w14:textId="0688372C" w:rsidR="00AE4C55" w:rsidRDefault="00AE4C55" w:rsidP="00DE7F18">
      <w:pPr>
        <w:pStyle w:val="Listaconnmeros"/>
        <w:numPr>
          <w:ilvl w:val="0"/>
          <w:numId w:val="0"/>
        </w:numPr>
        <w:tabs>
          <w:tab w:val="clear" w:pos="1515"/>
        </w:tabs>
        <w:spacing w:after="160" w:line="259" w:lineRule="auto"/>
        <w:ind w:left="360"/>
        <w:rPr>
          <w:lang w:val="en-US"/>
        </w:rPr>
      </w:pPr>
      <w:r>
        <w:rPr>
          <w:lang w:val="en-US"/>
        </w:rPr>
        <w:t>- Instead of WGS 84, is possible to use other ways as links in Google maps.</w:t>
      </w:r>
    </w:p>
    <w:p w14:paraId="24827A94" w14:textId="287EA009" w:rsidR="00707D0C" w:rsidRDefault="00AE4C55" w:rsidP="00707D0C">
      <w:pPr>
        <w:pStyle w:val="Listaconnmeros"/>
        <w:numPr>
          <w:ilvl w:val="0"/>
          <w:numId w:val="0"/>
        </w:numPr>
        <w:tabs>
          <w:tab w:val="clear" w:pos="1515"/>
        </w:tabs>
        <w:spacing w:after="160" w:line="259" w:lineRule="auto"/>
        <w:ind w:left="360"/>
        <w:rPr>
          <w:lang w:val="en-US"/>
        </w:rPr>
      </w:pPr>
      <w:r>
        <w:rPr>
          <w:lang w:val="en-US"/>
        </w:rPr>
        <w:t xml:space="preserve">- Satellite images in </w:t>
      </w:r>
      <w:proofErr w:type="spellStart"/>
      <w:r>
        <w:rPr>
          <w:lang w:val="en-US"/>
        </w:rPr>
        <w:t>kml</w:t>
      </w:r>
      <w:proofErr w:type="spellEnd"/>
      <w:r>
        <w:rPr>
          <w:lang w:val="en-US"/>
        </w:rPr>
        <w:t xml:space="preserve"> or </w:t>
      </w:r>
      <w:proofErr w:type="spellStart"/>
      <w:r>
        <w:rPr>
          <w:lang w:val="en-US"/>
        </w:rPr>
        <w:t>gpx</w:t>
      </w:r>
      <w:proofErr w:type="spellEnd"/>
      <w:r>
        <w:rPr>
          <w:lang w:val="en-US"/>
        </w:rPr>
        <w:t xml:space="preserve"> format might not be available in other countries.</w:t>
      </w:r>
    </w:p>
    <w:p w14:paraId="1CCE5309" w14:textId="301F1CBB" w:rsidR="00707D0C" w:rsidRDefault="00707D0C" w:rsidP="00707D0C">
      <w:pPr>
        <w:pStyle w:val="Listaconnmeros"/>
        <w:numPr>
          <w:ilvl w:val="0"/>
          <w:numId w:val="0"/>
        </w:numPr>
        <w:tabs>
          <w:tab w:val="clear" w:pos="1515"/>
        </w:tabs>
        <w:spacing w:after="160" w:line="259" w:lineRule="auto"/>
        <w:ind w:left="360"/>
        <w:rPr>
          <w:lang w:val="en-US"/>
        </w:rPr>
      </w:pPr>
      <w:r>
        <w:rPr>
          <w:lang w:val="en-US"/>
        </w:rPr>
        <w:t>- Declaration of open cases related to legal violations shall be linked only to the applicant UoC</w:t>
      </w:r>
    </w:p>
    <w:p w14:paraId="6E01BF50" w14:textId="6F1F1A31" w:rsidR="00AE4C55" w:rsidRDefault="00AE4C55" w:rsidP="00DE7F18">
      <w:pPr>
        <w:pStyle w:val="Listaconnmeros"/>
        <w:numPr>
          <w:ilvl w:val="0"/>
          <w:numId w:val="0"/>
        </w:numPr>
        <w:tabs>
          <w:tab w:val="clear" w:pos="1515"/>
        </w:tabs>
        <w:spacing w:after="160" w:line="259" w:lineRule="auto"/>
        <w:ind w:left="360"/>
        <w:rPr>
          <w:lang w:val="en-US"/>
        </w:rPr>
      </w:pPr>
    </w:p>
    <w:p w14:paraId="554EA480" w14:textId="4466DD8F" w:rsidR="003C26DE" w:rsidRDefault="00AE4C55" w:rsidP="00707D0C">
      <w:pPr>
        <w:pStyle w:val="Listaconnmeros"/>
        <w:numPr>
          <w:ilvl w:val="0"/>
          <w:numId w:val="0"/>
        </w:numPr>
        <w:tabs>
          <w:tab w:val="clear" w:pos="1515"/>
        </w:tabs>
        <w:spacing w:after="160" w:line="259" w:lineRule="auto"/>
        <w:ind w:left="360"/>
        <w:rPr>
          <w:lang w:val="en-US"/>
        </w:rPr>
      </w:pPr>
      <w:r>
        <w:rPr>
          <w:lang w:val="en-US"/>
        </w:rPr>
        <w:t xml:space="preserve">WGS 84 is the system that ASC database uses for locate farms in the ASC mapping tool, therefore application information shall be in that format. In relation to the formats, it is a preference as written in the clause, even a satellite image with the polygon handwritten will help the CAB to locate the farm. Satellite images are available even with basic smartphones. </w:t>
      </w:r>
      <w:r w:rsidR="00707D0C">
        <w:rPr>
          <w:lang w:val="en-US"/>
        </w:rPr>
        <w:t>These examples</w:t>
      </w:r>
      <w:r>
        <w:rPr>
          <w:lang w:val="en-US"/>
        </w:rPr>
        <w:t xml:space="preserve"> will be added in the guidance documents</w:t>
      </w:r>
      <w:r w:rsidR="00707D0C">
        <w:rPr>
          <w:lang w:val="en-US"/>
        </w:rPr>
        <w:t>.</w:t>
      </w:r>
    </w:p>
    <w:p w14:paraId="394E924A" w14:textId="47F70B40" w:rsidR="00707D0C" w:rsidRDefault="00707D0C" w:rsidP="00707D0C">
      <w:pPr>
        <w:pStyle w:val="Listaconnmeros"/>
        <w:numPr>
          <w:ilvl w:val="0"/>
          <w:numId w:val="0"/>
        </w:numPr>
        <w:tabs>
          <w:tab w:val="clear" w:pos="1515"/>
        </w:tabs>
        <w:spacing w:after="160" w:line="259" w:lineRule="auto"/>
        <w:ind w:left="360"/>
        <w:rPr>
          <w:lang w:val="en-US"/>
        </w:rPr>
      </w:pPr>
    </w:p>
    <w:p w14:paraId="6B77660C" w14:textId="24DEDF11" w:rsidR="00707D0C" w:rsidRDefault="00707D0C" w:rsidP="00707D0C">
      <w:pPr>
        <w:pStyle w:val="Listaconnmeros"/>
        <w:numPr>
          <w:ilvl w:val="0"/>
          <w:numId w:val="0"/>
        </w:numPr>
        <w:tabs>
          <w:tab w:val="clear" w:pos="1515"/>
        </w:tabs>
        <w:spacing w:after="160" w:line="259" w:lineRule="auto"/>
        <w:ind w:left="360"/>
        <w:rPr>
          <w:lang w:val="en-US"/>
        </w:rPr>
      </w:pPr>
      <w:r>
        <w:rPr>
          <w:lang w:val="en-US"/>
        </w:rPr>
        <w:t>The clause 4.1 h is clarified detailing that the legal violations are in connection with the applicant UoC.</w:t>
      </w:r>
    </w:p>
    <w:p w14:paraId="152044D4" w14:textId="1D70A4C0" w:rsidR="00707D0C" w:rsidRDefault="00707D0C" w:rsidP="00707D0C">
      <w:pPr>
        <w:pStyle w:val="Listaconnmeros"/>
        <w:numPr>
          <w:ilvl w:val="0"/>
          <w:numId w:val="0"/>
        </w:numPr>
        <w:tabs>
          <w:tab w:val="clear" w:pos="1515"/>
        </w:tabs>
        <w:spacing w:after="160" w:line="259" w:lineRule="auto"/>
        <w:ind w:left="360"/>
        <w:rPr>
          <w:lang w:val="en-US"/>
        </w:rPr>
      </w:pPr>
    </w:p>
    <w:p w14:paraId="056D097C" w14:textId="68A247DB" w:rsidR="00707D0C" w:rsidRDefault="00C207ED" w:rsidP="00707D0C">
      <w:pPr>
        <w:pStyle w:val="Listaconnmeros"/>
        <w:numPr>
          <w:ilvl w:val="0"/>
          <w:numId w:val="0"/>
        </w:numPr>
        <w:tabs>
          <w:tab w:val="clear" w:pos="1515"/>
        </w:tabs>
        <w:spacing w:after="160" w:line="259" w:lineRule="auto"/>
        <w:ind w:left="360"/>
        <w:rPr>
          <w:b/>
          <w:bCs/>
          <w:lang w:val="en-US"/>
        </w:rPr>
      </w:pPr>
      <w:r>
        <w:rPr>
          <w:b/>
          <w:bCs/>
          <w:lang w:val="en-US"/>
        </w:rPr>
        <w:t>Application review (formerly Due Diligence)</w:t>
      </w:r>
    </w:p>
    <w:p w14:paraId="0E12E47D" w14:textId="535B6FCD" w:rsidR="00C207ED" w:rsidRDefault="00C207ED" w:rsidP="00707D0C">
      <w:pPr>
        <w:pStyle w:val="Listaconnmeros"/>
        <w:numPr>
          <w:ilvl w:val="0"/>
          <w:numId w:val="0"/>
        </w:numPr>
        <w:tabs>
          <w:tab w:val="clear" w:pos="1515"/>
        </w:tabs>
        <w:spacing w:after="160" w:line="259" w:lineRule="auto"/>
        <w:ind w:left="360"/>
        <w:rPr>
          <w:lang w:val="en-US"/>
        </w:rPr>
      </w:pPr>
      <w:r>
        <w:rPr>
          <w:lang w:val="en-US"/>
        </w:rPr>
        <w:t>- To develop an assessment on the information submitted in the application form will require experience and if the applicant is rejected, the cost spent on this review won’t be charged to the client.</w:t>
      </w:r>
    </w:p>
    <w:p w14:paraId="75DCFB1D" w14:textId="631C26B0" w:rsidR="00C207ED" w:rsidRDefault="00C207ED" w:rsidP="00707D0C">
      <w:pPr>
        <w:pStyle w:val="Listaconnmeros"/>
        <w:numPr>
          <w:ilvl w:val="0"/>
          <w:numId w:val="0"/>
        </w:numPr>
        <w:tabs>
          <w:tab w:val="clear" w:pos="1515"/>
        </w:tabs>
        <w:spacing w:after="160" w:line="259" w:lineRule="auto"/>
        <w:ind w:left="360"/>
        <w:rPr>
          <w:lang w:val="en-US"/>
        </w:rPr>
      </w:pPr>
      <w:r>
        <w:rPr>
          <w:lang w:val="en-US"/>
        </w:rPr>
        <w:t xml:space="preserve">- Open cases of </w:t>
      </w:r>
      <w:r w:rsidR="007A2E80">
        <w:rPr>
          <w:lang w:val="en-US"/>
        </w:rPr>
        <w:t xml:space="preserve">legal </w:t>
      </w:r>
      <w:r>
        <w:rPr>
          <w:lang w:val="en-US"/>
        </w:rPr>
        <w:t>violation is a broad concept difficult to search.</w:t>
      </w:r>
    </w:p>
    <w:p w14:paraId="6C8F7E68" w14:textId="6F75D91D" w:rsidR="00C207ED" w:rsidRDefault="00C207ED" w:rsidP="00707D0C">
      <w:pPr>
        <w:pStyle w:val="Listaconnmeros"/>
        <w:numPr>
          <w:ilvl w:val="0"/>
          <w:numId w:val="0"/>
        </w:numPr>
        <w:tabs>
          <w:tab w:val="clear" w:pos="1515"/>
        </w:tabs>
        <w:spacing w:after="160" w:line="259" w:lineRule="auto"/>
        <w:ind w:left="360"/>
        <w:rPr>
          <w:lang w:val="en-US"/>
        </w:rPr>
      </w:pPr>
    </w:p>
    <w:p w14:paraId="17172BDE" w14:textId="52A7035A" w:rsidR="00C207ED" w:rsidRDefault="00C207ED" w:rsidP="00707D0C">
      <w:pPr>
        <w:pStyle w:val="Listaconnmeros"/>
        <w:numPr>
          <w:ilvl w:val="0"/>
          <w:numId w:val="0"/>
        </w:numPr>
        <w:tabs>
          <w:tab w:val="clear" w:pos="1515"/>
        </w:tabs>
        <w:spacing w:after="160" w:line="259" w:lineRule="auto"/>
        <w:ind w:left="360"/>
        <w:rPr>
          <w:lang w:val="en-US"/>
        </w:rPr>
      </w:pPr>
      <w:r>
        <w:rPr>
          <w:lang w:val="en-US"/>
        </w:rPr>
        <w:t>The term due diligence is changed to application review as the first one is a more complex process. The application review is a mandatory step in ISO 17065</w:t>
      </w:r>
      <w:r w:rsidR="00F8438E">
        <w:rPr>
          <w:lang w:val="en-US"/>
        </w:rPr>
        <w:t xml:space="preserve"> and CABs shall allocate time for it even if there is a possibility to reject the applicant</w:t>
      </w:r>
      <w:r>
        <w:rPr>
          <w:lang w:val="en-US"/>
        </w:rPr>
        <w:t xml:space="preserve">. </w:t>
      </w:r>
      <w:r w:rsidR="00F8438E">
        <w:rPr>
          <w:lang w:val="en-US"/>
        </w:rPr>
        <w:t>ASC requirements for this step include a quick evaluation of sitting situation of the farm to avoid failed audits if the farm is ineligible for the certification. ASC provides a practical tool that put several environmental siting tools in one place that reduce considerable the sitting evaluation.</w:t>
      </w:r>
    </w:p>
    <w:p w14:paraId="6C38685D" w14:textId="01EA0F6F" w:rsidR="00F8438E" w:rsidRDefault="00F8438E" w:rsidP="00707D0C">
      <w:pPr>
        <w:pStyle w:val="Listaconnmeros"/>
        <w:numPr>
          <w:ilvl w:val="0"/>
          <w:numId w:val="0"/>
        </w:numPr>
        <w:tabs>
          <w:tab w:val="clear" w:pos="1515"/>
        </w:tabs>
        <w:spacing w:after="160" w:line="259" w:lineRule="auto"/>
        <w:ind w:left="360"/>
        <w:rPr>
          <w:lang w:val="en-US"/>
        </w:rPr>
      </w:pPr>
    </w:p>
    <w:p w14:paraId="0B5ED996" w14:textId="6CDB4FAE" w:rsidR="00F8438E" w:rsidRDefault="00F8438E" w:rsidP="00707D0C">
      <w:pPr>
        <w:pStyle w:val="Listaconnmeros"/>
        <w:numPr>
          <w:ilvl w:val="0"/>
          <w:numId w:val="0"/>
        </w:numPr>
        <w:tabs>
          <w:tab w:val="clear" w:pos="1515"/>
        </w:tabs>
        <w:spacing w:after="160" w:line="259" w:lineRule="auto"/>
        <w:ind w:left="360"/>
        <w:rPr>
          <w:lang w:val="en-US"/>
        </w:rPr>
      </w:pPr>
      <w:r>
        <w:rPr>
          <w:lang w:val="en-US"/>
        </w:rPr>
        <w:t xml:space="preserve">In relation to legal violations, the scope is narrowed to successful prosecution or open cases related to fraudulent activities, child labor, human trafficking or forced labor. These situations usually appear </w:t>
      </w:r>
      <w:r w:rsidR="007A2E80">
        <w:rPr>
          <w:lang w:val="en-US"/>
        </w:rPr>
        <w:t>making a basic media search in internet that also would not take much resources from the CAB.</w:t>
      </w:r>
    </w:p>
    <w:p w14:paraId="348CBAA7" w14:textId="14001DE6" w:rsidR="00DC094D" w:rsidRDefault="00DC094D" w:rsidP="00707D0C">
      <w:pPr>
        <w:pStyle w:val="Listaconnmeros"/>
        <w:numPr>
          <w:ilvl w:val="0"/>
          <w:numId w:val="0"/>
        </w:numPr>
        <w:tabs>
          <w:tab w:val="clear" w:pos="1515"/>
        </w:tabs>
        <w:spacing w:after="160" w:line="259" w:lineRule="auto"/>
        <w:ind w:left="360"/>
        <w:rPr>
          <w:lang w:val="en-US"/>
        </w:rPr>
      </w:pPr>
    </w:p>
    <w:p w14:paraId="6387CA5B" w14:textId="1F7E05D4" w:rsidR="00DC094D" w:rsidRDefault="00DC094D" w:rsidP="00707D0C">
      <w:pPr>
        <w:pStyle w:val="Listaconnmeros"/>
        <w:numPr>
          <w:ilvl w:val="0"/>
          <w:numId w:val="0"/>
        </w:numPr>
        <w:tabs>
          <w:tab w:val="clear" w:pos="1515"/>
        </w:tabs>
        <w:spacing w:after="160" w:line="259" w:lineRule="auto"/>
        <w:ind w:left="360"/>
        <w:rPr>
          <w:b/>
          <w:bCs/>
          <w:lang w:val="en-US"/>
        </w:rPr>
      </w:pPr>
      <w:r>
        <w:rPr>
          <w:b/>
          <w:bCs/>
          <w:lang w:val="en-US"/>
        </w:rPr>
        <w:t>Unit of Certification</w:t>
      </w:r>
    </w:p>
    <w:p w14:paraId="5BAEE788" w14:textId="39D155DA" w:rsidR="00DC094D" w:rsidRDefault="00DC094D" w:rsidP="00707D0C">
      <w:pPr>
        <w:pStyle w:val="Listaconnmeros"/>
        <w:numPr>
          <w:ilvl w:val="0"/>
          <w:numId w:val="0"/>
        </w:numPr>
        <w:tabs>
          <w:tab w:val="clear" w:pos="1515"/>
        </w:tabs>
        <w:spacing w:after="160" w:line="259" w:lineRule="auto"/>
        <w:ind w:left="360"/>
        <w:rPr>
          <w:lang w:val="en-US"/>
        </w:rPr>
      </w:pPr>
      <w:r>
        <w:rPr>
          <w:lang w:val="en-US"/>
        </w:rPr>
        <w:t>- Processing, packing, storage activities shall be evaluated as part of the CoC</w:t>
      </w:r>
      <w:r w:rsidR="00696648">
        <w:rPr>
          <w:lang w:val="en-US"/>
        </w:rPr>
        <w:t>.</w:t>
      </w:r>
    </w:p>
    <w:p w14:paraId="2ED74D4F" w14:textId="137CE184" w:rsidR="00696648" w:rsidRDefault="00696648" w:rsidP="00707D0C">
      <w:pPr>
        <w:pStyle w:val="Listaconnmeros"/>
        <w:numPr>
          <w:ilvl w:val="0"/>
          <w:numId w:val="0"/>
        </w:numPr>
        <w:tabs>
          <w:tab w:val="clear" w:pos="1515"/>
        </w:tabs>
        <w:spacing w:after="160" w:line="259" w:lineRule="auto"/>
        <w:ind w:left="360"/>
        <w:rPr>
          <w:lang w:val="en-US"/>
        </w:rPr>
      </w:pPr>
      <w:r>
        <w:rPr>
          <w:lang w:val="en-US"/>
        </w:rPr>
        <w:t xml:space="preserve">- </w:t>
      </w:r>
      <w:proofErr w:type="spellStart"/>
      <w:r>
        <w:rPr>
          <w:lang w:val="en-US"/>
        </w:rPr>
        <w:t>Intemediary</w:t>
      </w:r>
      <w:proofErr w:type="spellEnd"/>
      <w:r>
        <w:rPr>
          <w:lang w:val="en-US"/>
        </w:rPr>
        <w:t xml:space="preserve"> sites and early stage of the production </w:t>
      </w:r>
      <w:proofErr w:type="spellStart"/>
      <w:r>
        <w:rPr>
          <w:lang w:val="en-US"/>
        </w:rPr>
        <w:t>ccycle</w:t>
      </w:r>
      <w:proofErr w:type="spellEnd"/>
      <w:r>
        <w:rPr>
          <w:lang w:val="en-US"/>
        </w:rPr>
        <w:t xml:space="preserve"> should be included.</w:t>
      </w:r>
    </w:p>
    <w:p w14:paraId="1D94C722" w14:textId="569E3506" w:rsidR="00696648" w:rsidRDefault="00696648" w:rsidP="00707D0C">
      <w:pPr>
        <w:pStyle w:val="Listaconnmeros"/>
        <w:numPr>
          <w:ilvl w:val="0"/>
          <w:numId w:val="0"/>
        </w:numPr>
        <w:tabs>
          <w:tab w:val="clear" w:pos="1515"/>
        </w:tabs>
        <w:spacing w:after="160" w:line="259" w:lineRule="auto"/>
        <w:ind w:left="360"/>
        <w:rPr>
          <w:lang w:val="en-US"/>
        </w:rPr>
      </w:pPr>
    </w:p>
    <w:p w14:paraId="0E650FEF" w14:textId="5E6C5379" w:rsidR="00696648" w:rsidRDefault="00696648" w:rsidP="00707D0C">
      <w:pPr>
        <w:pStyle w:val="Listaconnmeros"/>
        <w:numPr>
          <w:ilvl w:val="0"/>
          <w:numId w:val="0"/>
        </w:numPr>
        <w:tabs>
          <w:tab w:val="clear" w:pos="1515"/>
        </w:tabs>
        <w:spacing w:after="160" w:line="259" w:lineRule="auto"/>
        <w:ind w:left="360"/>
        <w:rPr>
          <w:lang w:val="en-US"/>
        </w:rPr>
      </w:pPr>
      <w:r>
        <w:rPr>
          <w:lang w:val="en-US"/>
        </w:rPr>
        <w:t>The inclusion of these activities described in this section into the scope of certification is applicable when are conducted in the premises of the UoC. A separate CoC will be needed if one of the conditions in 6.2 is not fulfilled.</w:t>
      </w:r>
    </w:p>
    <w:p w14:paraId="7CCB244B" w14:textId="03F0D27E" w:rsidR="00696648" w:rsidRDefault="00696648" w:rsidP="00707D0C">
      <w:pPr>
        <w:pStyle w:val="Listaconnmeros"/>
        <w:numPr>
          <w:ilvl w:val="0"/>
          <w:numId w:val="0"/>
        </w:numPr>
        <w:tabs>
          <w:tab w:val="clear" w:pos="1515"/>
        </w:tabs>
        <w:spacing w:after="160" w:line="259" w:lineRule="auto"/>
        <w:ind w:left="360"/>
        <w:rPr>
          <w:lang w:val="en-US"/>
        </w:rPr>
      </w:pPr>
    </w:p>
    <w:p w14:paraId="48C7D50F" w14:textId="38EC381D" w:rsidR="00696648" w:rsidRDefault="00696648" w:rsidP="00707D0C">
      <w:pPr>
        <w:pStyle w:val="Listaconnmeros"/>
        <w:numPr>
          <w:ilvl w:val="0"/>
          <w:numId w:val="0"/>
        </w:numPr>
        <w:tabs>
          <w:tab w:val="clear" w:pos="1515"/>
        </w:tabs>
        <w:spacing w:after="160" w:line="259" w:lineRule="auto"/>
        <w:ind w:left="360"/>
        <w:rPr>
          <w:lang w:val="en-US"/>
        </w:rPr>
      </w:pPr>
      <w:r>
        <w:rPr>
          <w:lang w:val="en-US"/>
        </w:rPr>
        <w:t>The inclusion of production stages before the grow out stage in under the review of Standards and Science department. It is necessary to understand if different indictors and metrics will be needed for these early stages.</w:t>
      </w:r>
    </w:p>
    <w:p w14:paraId="593195E9" w14:textId="6737003D" w:rsidR="00D17E4E" w:rsidRDefault="00D17E4E" w:rsidP="00707D0C">
      <w:pPr>
        <w:pStyle w:val="Listaconnmeros"/>
        <w:numPr>
          <w:ilvl w:val="0"/>
          <w:numId w:val="0"/>
        </w:numPr>
        <w:tabs>
          <w:tab w:val="clear" w:pos="1515"/>
        </w:tabs>
        <w:spacing w:after="160" w:line="259" w:lineRule="auto"/>
        <w:ind w:left="360"/>
        <w:rPr>
          <w:lang w:val="en-US"/>
        </w:rPr>
      </w:pPr>
    </w:p>
    <w:p w14:paraId="441120B1" w14:textId="36F061E3" w:rsidR="00D17E4E" w:rsidRDefault="00D17E4E" w:rsidP="00707D0C">
      <w:pPr>
        <w:pStyle w:val="Listaconnmeros"/>
        <w:numPr>
          <w:ilvl w:val="0"/>
          <w:numId w:val="0"/>
        </w:numPr>
        <w:tabs>
          <w:tab w:val="clear" w:pos="1515"/>
        </w:tabs>
        <w:spacing w:after="160" w:line="259" w:lineRule="auto"/>
        <w:ind w:left="360"/>
        <w:rPr>
          <w:b/>
          <w:bCs/>
          <w:lang w:val="en-US"/>
        </w:rPr>
      </w:pPr>
      <w:r>
        <w:rPr>
          <w:b/>
          <w:bCs/>
          <w:lang w:val="en-US"/>
        </w:rPr>
        <w:t>Contract</w:t>
      </w:r>
    </w:p>
    <w:p w14:paraId="20563BFC" w14:textId="6CDFD57B" w:rsidR="00D17E4E" w:rsidRDefault="00D17E4E" w:rsidP="00707D0C">
      <w:pPr>
        <w:pStyle w:val="Listaconnmeros"/>
        <w:numPr>
          <w:ilvl w:val="0"/>
          <w:numId w:val="0"/>
        </w:numPr>
        <w:tabs>
          <w:tab w:val="clear" w:pos="1515"/>
        </w:tabs>
        <w:spacing w:after="160" w:line="259" w:lineRule="auto"/>
        <w:ind w:left="360"/>
        <w:rPr>
          <w:lang w:val="en-US"/>
        </w:rPr>
      </w:pPr>
      <w:r>
        <w:rPr>
          <w:lang w:val="en-US"/>
        </w:rPr>
        <w:t>- The right of ASC to perform visits to certificate holders including without notice visits might strain relation between the CAB and client and ASC personnel may not be qualified for these visits.</w:t>
      </w:r>
    </w:p>
    <w:p w14:paraId="620DC1CC" w14:textId="690CCBAB" w:rsidR="00D17E4E" w:rsidRDefault="00D17E4E" w:rsidP="00707D0C">
      <w:pPr>
        <w:pStyle w:val="Listaconnmeros"/>
        <w:numPr>
          <w:ilvl w:val="0"/>
          <w:numId w:val="0"/>
        </w:numPr>
        <w:tabs>
          <w:tab w:val="clear" w:pos="1515"/>
        </w:tabs>
        <w:spacing w:after="160" w:line="259" w:lineRule="auto"/>
        <w:ind w:left="360"/>
        <w:rPr>
          <w:lang w:val="en-US"/>
        </w:rPr>
      </w:pPr>
      <w:r>
        <w:rPr>
          <w:lang w:val="en-US"/>
        </w:rPr>
        <w:lastRenderedPageBreak/>
        <w:t>- The notification of disease outbreak should be only for OIE notifiable diseases.</w:t>
      </w:r>
    </w:p>
    <w:p w14:paraId="2AEE4C85" w14:textId="4D77E886" w:rsidR="00D17E4E" w:rsidRDefault="00D17E4E" w:rsidP="00707D0C">
      <w:pPr>
        <w:pStyle w:val="Listaconnmeros"/>
        <w:numPr>
          <w:ilvl w:val="0"/>
          <w:numId w:val="0"/>
        </w:numPr>
        <w:tabs>
          <w:tab w:val="clear" w:pos="1515"/>
        </w:tabs>
        <w:spacing w:after="160" w:line="259" w:lineRule="auto"/>
        <w:ind w:left="360"/>
        <w:rPr>
          <w:lang w:val="en-US"/>
        </w:rPr>
      </w:pPr>
      <w:r>
        <w:rPr>
          <w:lang w:val="en-US"/>
        </w:rPr>
        <w:t>- 15 days for notification of changes might be too short.</w:t>
      </w:r>
    </w:p>
    <w:p w14:paraId="0C2041E9" w14:textId="2EBEDB55" w:rsidR="00D17E4E" w:rsidRDefault="00CB5DD0" w:rsidP="00707D0C">
      <w:pPr>
        <w:pStyle w:val="Listaconnmeros"/>
        <w:numPr>
          <w:ilvl w:val="0"/>
          <w:numId w:val="0"/>
        </w:numPr>
        <w:tabs>
          <w:tab w:val="clear" w:pos="1515"/>
        </w:tabs>
        <w:spacing w:after="160" w:line="259" w:lineRule="auto"/>
        <w:ind w:left="360"/>
        <w:rPr>
          <w:lang w:val="en-US"/>
        </w:rPr>
      </w:pPr>
      <w:r>
        <w:rPr>
          <w:lang w:val="en-US"/>
        </w:rPr>
        <w:t>- Clarification on the scope of notification of legal compliance violations.</w:t>
      </w:r>
    </w:p>
    <w:p w14:paraId="6AF10D5E" w14:textId="2D57F4E9" w:rsidR="00CB5DD0" w:rsidRDefault="00CB5DD0" w:rsidP="00707D0C">
      <w:pPr>
        <w:pStyle w:val="Listaconnmeros"/>
        <w:numPr>
          <w:ilvl w:val="0"/>
          <w:numId w:val="0"/>
        </w:numPr>
        <w:tabs>
          <w:tab w:val="clear" w:pos="1515"/>
        </w:tabs>
        <w:spacing w:after="160" w:line="259" w:lineRule="auto"/>
        <w:ind w:left="360"/>
        <w:rPr>
          <w:lang w:val="en-US"/>
        </w:rPr>
      </w:pPr>
    </w:p>
    <w:p w14:paraId="225B603E" w14:textId="505C758F" w:rsidR="00CB5DD0" w:rsidRDefault="00CB5DD0" w:rsidP="00707D0C">
      <w:pPr>
        <w:pStyle w:val="Listaconnmeros"/>
        <w:numPr>
          <w:ilvl w:val="0"/>
          <w:numId w:val="0"/>
        </w:numPr>
        <w:tabs>
          <w:tab w:val="clear" w:pos="1515"/>
        </w:tabs>
        <w:spacing w:after="160" w:line="259" w:lineRule="auto"/>
        <w:ind w:left="360"/>
        <w:rPr>
          <w:lang w:val="en-US"/>
        </w:rPr>
      </w:pPr>
      <w:r>
        <w:rPr>
          <w:lang w:val="en-US"/>
        </w:rPr>
        <w:t>Any evidence collected from the visits conducted on certificate holders will be shared with the CAB or the Appointed accreditation body. The evidence shall be objective and clear to allow the CAB to take a decision on the evidence collected by ASC or the appointed accreditation body.</w:t>
      </w:r>
    </w:p>
    <w:p w14:paraId="5C427C3B" w14:textId="0FA91F57" w:rsidR="00CB5DD0" w:rsidRDefault="00CB5DD0" w:rsidP="00707D0C">
      <w:pPr>
        <w:pStyle w:val="Listaconnmeros"/>
        <w:numPr>
          <w:ilvl w:val="0"/>
          <w:numId w:val="0"/>
        </w:numPr>
        <w:tabs>
          <w:tab w:val="clear" w:pos="1515"/>
        </w:tabs>
        <w:spacing w:after="160" w:line="259" w:lineRule="auto"/>
        <w:ind w:left="360"/>
        <w:rPr>
          <w:lang w:val="en-US"/>
        </w:rPr>
      </w:pPr>
    </w:p>
    <w:p w14:paraId="66240985" w14:textId="3EDB90EE" w:rsidR="00CB5DD0" w:rsidRDefault="00CB5DD0" w:rsidP="00707D0C">
      <w:pPr>
        <w:pStyle w:val="Listaconnmeros"/>
        <w:numPr>
          <w:ilvl w:val="0"/>
          <w:numId w:val="0"/>
        </w:numPr>
        <w:tabs>
          <w:tab w:val="clear" w:pos="1515"/>
        </w:tabs>
        <w:spacing w:after="160" w:line="259" w:lineRule="auto"/>
        <w:ind w:left="360"/>
        <w:rPr>
          <w:lang w:val="en-US"/>
        </w:rPr>
      </w:pPr>
      <w:r>
        <w:rPr>
          <w:lang w:val="en-US"/>
        </w:rPr>
        <w:t>The requirement of notify disease outbreaks to the CAB is modified to only OIE notifiable diseases and the notification of legal violations is clarified to those violations related to the compliance of the ASC standard. Finally, 15 days of notification is maintained as it is a prudential time to avoid integrity risks to the ASC products.</w:t>
      </w:r>
    </w:p>
    <w:p w14:paraId="0853D940" w14:textId="452763FE" w:rsidR="00CB5DD0" w:rsidRDefault="00CB5DD0" w:rsidP="00707D0C">
      <w:pPr>
        <w:pStyle w:val="Listaconnmeros"/>
        <w:numPr>
          <w:ilvl w:val="0"/>
          <w:numId w:val="0"/>
        </w:numPr>
        <w:tabs>
          <w:tab w:val="clear" w:pos="1515"/>
        </w:tabs>
        <w:spacing w:after="160" w:line="259" w:lineRule="auto"/>
        <w:ind w:left="360"/>
        <w:rPr>
          <w:lang w:val="en-US"/>
        </w:rPr>
      </w:pPr>
    </w:p>
    <w:p w14:paraId="1333D161" w14:textId="5658611C" w:rsidR="00CB5DD0" w:rsidRDefault="00160D7B" w:rsidP="00707D0C">
      <w:pPr>
        <w:pStyle w:val="Listaconnmeros"/>
        <w:numPr>
          <w:ilvl w:val="0"/>
          <w:numId w:val="0"/>
        </w:numPr>
        <w:tabs>
          <w:tab w:val="clear" w:pos="1515"/>
        </w:tabs>
        <w:spacing w:after="160" w:line="259" w:lineRule="auto"/>
        <w:ind w:left="360"/>
        <w:rPr>
          <w:b/>
          <w:bCs/>
          <w:lang w:val="en-US"/>
        </w:rPr>
      </w:pPr>
      <w:r>
        <w:rPr>
          <w:b/>
          <w:bCs/>
          <w:lang w:val="en-US"/>
        </w:rPr>
        <w:t>Audit timing</w:t>
      </w:r>
    </w:p>
    <w:p w14:paraId="32C60B19" w14:textId="1BE1B786" w:rsidR="00160D7B" w:rsidRDefault="00145F35" w:rsidP="00707D0C">
      <w:pPr>
        <w:pStyle w:val="Listaconnmeros"/>
        <w:numPr>
          <w:ilvl w:val="0"/>
          <w:numId w:val="0"/>
        </w:numPr>
        <w:tabs>
          <w:tab w:val="clear" w:pos="1515"/>
        </w:tabs>
        <w:spacing w:after="160" w:line="259" w:lineRule="auto"/>
        <w:ind w:left="360"/>
        <w:rPr>
          <w:lang w:val="en-US"/>
        </w:rPr>
      </w:pPr>
      <w:r>
        <w:rPr>
          <w:lang w:val="en-US"/>
        </w:rPr>
        <w:t>- Allow initial audits for new sites when they have completed 12 months of operation and for sites that already had a production cycle audit can be performed when the site reach 75% peak biomass.</w:t>
      </w:r>
    </w:p>
    <w:p w14:paraId="3D4A3ECF" w14:textId="3BE1CC9A" w:rsidR="00145F35" w:rsidRDefault="00145F35" w:rsidP="00707D0C">
      <w:pPr>
        <w:pStyle w:val="Listaconnmeros"/>
        <w:numPr>
          <w:ilvl w:val="0"/>
          <w:numId w:val="0"/>
        </w:numPr>
        <w:tabs>
          <w:tab w:val="clear" w:pos="1515"/>
        </w:tabs>
        <w:spacing w:after="160" w:line="259" w:lineRule="auto"/>
        <w:ind w:left="360"/>
        <w:rPr>
          <w:lang w:val="en-US"/>
        </w:rPr>
      </w:pPr>
      <w:r>
        <w:rPr>
          <w:lang w:val="en-US"/>
        </w:rPr>
        <w:t>- Evaluation of harvest activities and transportation will add more time to the audit and cost.</w:t>
      </w:r>
    </w:p>
    <w:p w14:paraId="1ADFB68F" w14:textId="77777777" w:rsidR="00B83B1F" w:rsidRDefault="00B83B1F" w:rsidP="00707D0C">
      <w:pPr>
        <w:pStyle w:val="Listaconnmeros"/>
        <w:numPr>
          <w:ilvl w:val="0"/>
          <w:numId w:val="0"/>
        </w:numPr>
        <w:tabs>
          <w:tab w:val="clear" w:pos="1515"/>
        </w:tabs>
        <w:spacing w:after="160" w:line="259" w:lineRule="auto"/>
        <w:ind w:left="360"/>
        <w:rPr>
          <w:lang w:val="en-US"/>
        </w:rPr>
      </w:pPr>
    </w:p>
    <w:p w14:paraId="6072F4F4" w14:textId="00A02608" w:rsidR="00145F35" w:rsidRDefault="00145F35" w:rsidP="00707D0C">
      <w:pPr>
        <w:pStyle w:val="Listaconnmeros"/>
        <w:numPr>
          <w:ilvl w:val="0"/>
          <w:numId w:val="0"/>
        </w:numPr>
        <w:tabs>
          <w:tab w:val="clear" w:pos="1515"/>
        </w:tabs>
        <w:spacing w:after="160" w:line="259" w:lineRule="auto"/>
        <w:ind w:left="360"/>
        <w:rPr>
          <w:lang w:val="en-US"/>
        </w:rPr>
      </w:pPr>
      <w:r>
        <w:rPr>
          <w:lang w:val="en-US"/>
        </w:rPr>
        <w:t>The requirement for audit timing remains the same. The clause 8.2 establish and audit timing and not a certification decision timing, the CAB shall collect the information required by the ASC standards including closed cycle information to take a certification decision.</w:t>
      </w:r>
    </w:p>
    <w:p w14:paraId="05E3DF91" w14:textId="69D5E224" w:rsidR="00145F35" w:rsidRDefault="00145F35" w:rsidP="00707D0C">
      <w:pPr>
        <w:pStyle w:val="Listaconnmeros"/>
        <w:numPr>
          <w:ilvl w:val="0"/>
          <w:numId w:val="0"/>
        </w:numPr>
        <w:tabs>
          <w:tab w:val="clear" w:pos="1515"/>
        </w:tabs>
        <w:spacing w:after="160" w:line="259" w:lineRule="auto"/>
        <w:ind w:left="360"/>
        <w:rPr>
          <w:lang w:val="en-US"/>
        </w:rPr>
      </w:pPr>
      <w:r>
        <w:rPr>
          <w:lang w:val="en-US"/>
        </w:rPr>
        <w:t>The evaluation of transport activities and subcontractors for traceability are already an element in the current CAR under the section of traceability, therefore should not be additional costs for this evaluation.</w:t>
      </w:r>
    </w:p>
    <w:p w14:paraId="4D516534" w14:textId="2B34B739" w:rsidR="0041116D" w:rsidRDefault="0041116D" w:rsidP="00707D0C">
      <w:pPr>
        <w:pStyle w:val="Listaconnmeros"/>
        <w:numPr>
          <w:ilvl w:val="0"/>
          <w:numId w:val="0"/>
        </w:numPr>
        <w:tabs>
          <w:tab w:val="clear" w:pos="1515"/>
        </w:tabs>
        <w:spacing w:after="160" w:line="259" w:lineRule="auto"/>
        <w:ind w:left="360"/>
        <w:rPr>
          <w:lang w:val="en-US"/>
        </w:rPr>
      </w:pPr>
    </w:p>
    <w:p w14:paraId="2065C087" w14:textId="43CD805F" w:rsidR="0041116D" w:rsidRDefault="0041116D" w:rsidP="00707D0C">
      <w:pPr>
        <w:pStyle w:val="Listaconnmeros"/>
        <w:numPr>
          <w:ilvl w:val="0"/>
          <w:numId w:val="0"/>
        </w:numPr>
        <w:tabs>
          <w:tab w:val="clear" w:pos="1515"/>
        </w:tabs>
        <w:spacing w:after="160" w:line="259" w:lineRule="auto"/>
        <w:ind w:left="360"/>
        <w:rPr>
          <w:b/>
          <w:bCs/>
          <w:lang w:val="en-US"/>
        </w:rPr>
      </w:pPr>
      <w:r>
        <w:rPr>
          <w:b/>
          <w:bCs/>
          <w:lang w:val="en-US"/>
        </w:rPr>
        <w:t>Sampling and testing</w:t>
      </w:r>
    </w:p>
    <w:p w14:paraId="6BE59AA0" w14:textId="37EA1F91" w:rsidR="0041116D" w:rsidRDefault="0041116D" w:rsidP="00707D0C">
      <w:pPr>
        <w:pStyle w:val="Listaconnmeros"/>
        <w:numPr>
          <w:ilvl w:val="0"/>
          <w:numId w:val="0"/>
        </w:numPr>
        <w:tabs>
          <w:tab w:val="clear" w:pos="1515"/>
        </w:tabs>
        <w:spacing w:after="160" w:line="259" w:lineRule="auto"/>
        <w:ind w:left="360"/>
        <w:rPr>
          <w:lang w:val="en-US"/>
        </w:rPr>
      </w:pPr>
      <w:r w:rsidRPr="0041116D">
        <w:rPr>
          <w:lang w:val="en-US"/>
        </w:rPr>
        <w:t xml:space="preserve">- </w:t>
      </w:r>
      <w:r w:rsidR="00E303CC" w:rsidRPr="0041116D">
        <w:rPr>
          <w:lang w:val="en-US"/>
        </w:rPr>
        <w:t>Personnel</w:t>
      </w:r>
      <w:r>
        <w:rPr>
          <w:lang w:val="en-US"/>
        </w:rPr>
        <w:t xml:space="preserve"> conducting the sampling activity shall be trained to maintain the integrity of the samples and is not the field of work of an auditor.</w:t>
      </w:r>
    </w:p>
    <w:p w14:paraId="2FC99537" w14:textId="187F29E1" w:rsidR="0041116D" w:rsidRDefault="0041116D" w:rsidP="00707D0C">
      <w:pPr>
        <w:pStyle w:val="Listaconnmeros"/>
        <w:numPr>
          <w:ilvl w:val="0"/>
          <w:numId w:val="0"/>
        </w:numPr>
        <w:tabs>
          <w:tab w:val="clear" w:pos="1515"/>
        </w:tabs>
        <w:spacing w:after="160" w:line="259" w:lineRule="auto"/>
        <w:ind w:left="360"/>
        <w:rPr>
          <w:lang w:val="en-US"/>
        </w:rPr>
      </w:pPr>
      <w:r>
        <w:rPr>
          <w:lang w:val="en-US"/>
        </w:rPr>
        <w:t xml:space="preserve">- The requirements </w:t>
      </w:r>
      <w:r w:rsidR="00E303CC">
        <w:rPr>
          <w:lang w:val="en-US"/>
        </w:rPr>
        <w:t>do</w:t>
      </w:r>
      <w:r>
        <w:rPr>
          <w:lang w:val="en-US"/>
        </w:rPr>
        <w:t xml:space="preserve"> not mention the right of the CAB to refuse the sampling request with grounded justification as an example health and safety during chemical manipulation.</w:t>
      </w:r>
    </w:p>
    <w:p w14:paraId="005054F5" w14:textId="5C7C78CD" w:rsidR="0041116D" w:rsidRDefault="0041116D" w:rsidP="00707D0C">
      <w:pPr>
        <w:pStyle w:val="Listaconnmeros"/>
        <w:numPr>
          <w:ilvl w:val="0"/>
          <w:numId w:val="0"/>
        </w:numPr>
        <w:tabs>
          <w:tab w:val="clear" w:pos="1515"/>
        </w:tabs>
        <w:spacing w:after="160" w:line="259" w:lineRule="auto"/>
        <w:ind w:left="360"/>
        <w:rPr>
          <w:lang w:val="en-US"/>
        </w:rPr>
      </w:pPr>
      <w:r>
        <w:rPr>
          <w:lang w:val="en-US"/>
        </w:rPr>
        <w:t>- Clarification needed on which entity covers the testing costs in different request scenarios.</w:t>
      </w:r>
    </w:p>
    <w:p w14:paraId="2E332D76" w14:textId="5A48325F" w:rsidR="0041116D" w:rsidRDefault="0041116D" w:rsidP="00707D0C">
      <w:pPr>
        <w:pStyle w:val="Listaconnmeros"/>
        <w:numPr>
          <w:ilvl w:val="0"/>
          <w:numId w:val="0"/>
        </w:numPr>
        <w:tabs>
          <w:tab w:val="clear" w:pos="1515"/>
        </w:tabs>
        <w:spacing w:after="160" w:line="259" w:lineRule="auto"/>
        <w:ind w:left="360"/>
        <w:rPr>
          <w:lang w:val="en-US"/>
        </w:rPr>
      </w:pPr>
      <w:r>
        <w:rPr>
          <w:lang w:val="en-US"/>
        </w:rPr>
        <w:t xml:space="preserve">- </w:t>
      </w:r>
      <w:r w:rsidR="00C20966">
        <w:rPr>
          <w:lang w:val="en-US"/>
        </w:rPr>
        <w:t>More details are needed in terms of the materials to keep the sample and the substances to test.</w:t>
      </w:r>
    </w:p>
    <w:p w14:paraId="1EC144B3" w14:textId="7E61137A" w:rsidR="00E303CC" w:rsidRDefault="00E303CC" w:rsidP="00707D0C">
      <w:pPr>
        <w:pStyle w:val="Listaconnmeros"/>
        <w:numPr>
          <w:ilvl w:val="0"/>
          <w:numId w:val="0"/>
        </w:numPr>
        <w:tabs>
          <w:tab w:val="clear" w:pos="1515"/>
        </w:tabs>
        <w:spacing w:after="160" w:line="259" w:lineRule="auto"/>
        <w:ind w:left="360"/>
        <w:rPr>
          <w:lang w:val="en-US"/>
        </w:rPr>
      </w:pPr>
    </w:p>
    <w:p w14:paraId="6D35209C" w14:textId="3E835595" w:rsidR="00E303CC" w:rsidRDefault="00E303CC" w:rsidP="00707D0C">
      <w:pPr>
        <w:pStyle w:val="Listaconnmeros"/>
        <w:numPr>
          <w:ilvl w:val="0"/>
          <w:numId w:val="0"/>
        </w:numPr>
        <w:tabs>
          <w:tab w:val="clear" w:pos="1515"/>
        </w:tabs>
        <w:spacing w:after="160" w:line="259" w:lineRule="auto"/>
        <w:ind w:left="360"/>
        <w:rPr>
          <w:lang w:val="en-US"/>
        </w:rPr>
      </w:pPr>
      <w:r>
        <w:rPr>
          <w:lang w:val="en-US"/>
        </w:rPr>
        <w:t>ASC is developing a protocol for sampling and testing and looking for credited labs that can provide the service worldwide. Achieving this the samples will be collected by competent and trained staff with the supervision of the auditor. The auditor will decide from which ponds or batches the samples will be taken.</w:t>
      </w:r>
      <w:r w:rsidR="003D79F0">
        <w:rPr>
          <w:lang w:val="en-US"/>
        </w:rPr>
        <w:t xml:space="preserve"> The protocol will describe the packing materials and substances to test. The service provider will bring the packing materials for the samples. </w:t>
      </w:r>
    </w:p>
    <w:p w14:paraId="04238E69" w14:textId="2EE78E7F" w:rsidR="00E303CC" w:rsidRDefault="00E303CC" w:rsidP="00707D0C">
      <w:pPr>
        <w:pStyle w:val="Listaconnmeros"/>
        <w:numPr>
          <w:ilvl w:val="0"/>
          <w:numId w:val="0"/>
        </w:numPr>
        <w:tabs>
          <w:tab w:val="clear" w:pos="1515"/>
        </w:tabs>
        <w:spacing w:after="160" w:line="259" w:lineRule="auto"/>
        <w:ind w:left="360"/>
        <w:rPr>
          <w:lang w:val="en-US"/>
        </w:rPr>
      </w:pPr>
    </w:p>
    <w:p w14:paraId="04525F2E" w14:textId="0EF74741" w:rsidR="00E303CC" w:rsidRDefault="00E303CC" w:rsidP="00707D0C">
      <w:pPr>
        <w:pStyle w:val="Listaconnmeros"/>
        <w:numPr>
          <w:ilvl w:val="0"/>
          <w:numId w:val="0"/>
        </w:numPr>
        <w:tabs>
          <w:tab w:val="clear" w:pos="1515"/>
        </w:tabs>
        <w:spacing w:after="160" w:line="259" w:lineRule="auto"/>
        <w:ind w:left="360"/>
        <w:rPr>
          <w:lang w:val="en-US"/>
        </w:rPr>
      </w:pPr>
      <w:r>
        <w:rPr>
          <w:lang w:val="en-US"/>
        </w:rPr>
        <w:t xml:space="preserve">It is clarified in clauses 15.1.1 and 15.1.2 that the cost of testing will be covered by ASC if the sample confirms the farm compliance in case that the sample is requested by ASC. In case that the CAB decide to take the </w:t>
      </w:r>
      <w:r w:rsidR="00D11A1D">
        <w:rPr>
          <w:lang w:val="en-US"/>
        </w:rPr>
        <w:t>sample,</w:t>
      </w:r>
      <w:r>
        <w:rPr>
          <w:lang w:val="en-US"/>
        </w:rPr>
        <w:t xml:space="preserve"> the cost will be charged to the client</w:t>
      </w:r>
    </w:p>
    <w:p w14:paraId="0E491AC0" w14:textId="46B0C8FF" w:rsidR="00E303CC" w:rsidRDefault="00E303CC" w:rsidP="00707D0C">
      <w:pPr>
        <w:pStyle w:val="Listaconnmeros"/>
        <w:numPr>
          <w:ilvl w:val="0"/>
          <w:numId w:val="0"/>
        </w:numPr>
        <w:tabs>
          <w:tab w:val="clear" w:pos="1515"/>
        </w:tabs>
        <w:spacing w:after="160" w:line="259" w:lineRule="auto"/>
        <w:ind w:left="360"/>
        <w:rPr>
          <w:lang w:val="en-US"/>
        </w:rPr>
      </w:pPr>
    </w:p>
    <w:p w14:paraId="071BB7A8" w14:textId="57B54522" w:rsidR="00E303CC" w:rsidRDefault="00E303CC" w:rsidP="00707D0C">
      <w:pPr>
        <w:pStyle w:val="Listaconnmeros"/>
        <w:numPr>
          <w:ilvl w:val="0"/>
          <w:numId w:val="0"/>
        </w:numPr>
        <w:tabs>
          <w:tab w:val="clear" w:pos="1515"/>
        </w:tabs>
        <w:spacing w:after="160" w:line="259" w:lineRule="auto"/>
        <w:ind w:left="360"/>
        <w:rPr>
          <w:b/>
          <w:bCs/>
          <w:lang w:val="en-US"/>
        </w:rPr>
      </w:pPr>
      <w:r>
        <w:rPr>
          <w:b/>
          <w:bCs/>
          <w:lang w:val="en-US"/>
        </w:rPr>
        <w:t>Remote auditing</w:t>
      </w:r>
    </w:p>
    <w:p w14:paraId="366F53E4" w14:textId="6D887372" w:rsidR="00E303CC" w:rsidRDefault="003D79F0" w:rsidP="00707D0C">
      <w:pPr>
        <w:pStyle w:val="Listaconnmeros"/>
        <w:numPr>
          <w:ilvl w:val="0"/>
          <w:numId w:val="0"/>
        </w:numPr>
        <w:tabs>
          <w:tab w:val="clear" w:pos="1515"/>
        </w:tabs>
        <w:spacing w:after="160" w:line="259" w:lineRule="auto"/>
        <w:ind w:left="360"/>
        <w:rPr>
          <w:lang w:val="en-US"/>
        </w:rPr>
      </w:pPr>
      <w:r w:rsidRPr="003D79F0">
        <w:rPr>
          <w:lang w:val="en-US"/>
        </w:rPr>
        <w:t xml:space="preserve">- Workers interviews </w:t>
      </w:r>
      <w:r>
        <w:rPr>
          <w:lang w:val="en-US"/>
        </w:rPr>
        <w:t>should be allowed in certain conditions.</w:t>
      </w:r>
    </w:p>
    <w:p w14:paraId="26C1C910" w14:textId="323034F2" w:rsidR="003D79F0" w:rsidRDefault="003D79F0" w:rsidP="00707D0C">
      <w:pPr>
        <w:pStyle w:val="Listaconnmeros"/>
        <w:numPr>
          <w:ilvl w:val="0"/>
          <w:numId w:val="0"/>
        </w:numPr>
        <w:tabs>
          <w:tab w:val="clear" w:pos="1515"/>
        </w:tabs>
        <w:spacing w:after="160" w:line="259" w:lineRule="auto"/>
        <w:ind w:left="360"/>
        <w:rPr>
          <w:lang w:val="en-US"/>
        </w:rPr>
      </w:pPr>
      <w:r>
        <w:rPr>
          <w:lang w:val="en-US"/>
        </w:rPr>
        <w:t xml:space="preserve">- </w:t>
      </w:r>
      <w:r w:rsidR="00146129">
        <w:rPr>
          <w:lang w:val="en-US"/>
        </w:rPr>
        <w:t xml:space="preserve">Remote audits should be allowed at </w:t>
      </w:r>
      <w:proofErr w:type="spellStart"/>
      <w:r w:rsidR="00146129">
        <w:rPr>
          <w:lang w:val="en-US"/>
        </w:rPr>
        <w:t>Multisites</w:t>
      </w:r>
      <w:proofErr w:type="spellEnd"/>
      <w:r w:rsidR="00146129">
        <w:rPr>
          <w:lang w:val="en-US"/>
        </w:rPr>
        <w:t xml:space="preserve"> without IMS.</w:t>
      </w:r>
    </w:p>
    <w:p w14:paraId="7E6C07E5" w14:textId="08DDAE36" w:rsidR="00146129" w:rsidRDefault="00146129" w:rsidP="00707D0C">
      <w:pPr>
        <w:pStyle w:val="Listaconnmeros"/>
        <w:numPr>
          <w:ilvl w:val="0"/>
          <w:numId w:val="0"/>
        </w:numPr>
        <w:tabs>
          <w:tab w:val="clear" w:pos="1515"/>
        </w:tabs>
        <w:spacing w:after="160" w:line="259" w:lineRule="auto"/>
        <w:ind w:left="360"/>
        <w:rPr>
          <w:lang w:val="en-US"/>
        </w:rPr>
      </w:pPr>
    </w:p>
    <w:p w14:paraId="3B70FEB2" w14:textId="03FABE3F" w:rsidR="00F37141" w:rsidRDefault="00F37141" w:rsidP="00707D0C">
      <w:pPr>
        <w:pStyle w:val="Listaconnmeros"/>
        <w:numPr>
          <w:ilvl w:val="0"/>
          <w:numId w:val="0"/>
        </w:numPr>
        <w:tabs>
          <w:tab w:val="clear" w:pos="1515"/>
        </w:tabs>
        <w:spacing w:after="160" w:line="259" w:lineRule="auto"/>
        <w:ind w:left="360"/>
        <w:rPr>
          <w:lang w:val="en-US"/>
        </w:rPr>
      </w:pPr>
      <w:r>
        <w:rPr>
          <w:lang w:val="en-US"/>
        </w:rPr>
        <w:t>Workers interviews are now allowed in clause 16.3 but under certain conditions. Also is included the possibility to conduct fully remote audits on Multisite UoCs but only if they are option 1 or without IMS.</w:t>
      </w:r>
    </w:p>
    <w:p w14:paraId="45612126" w14:textId="13E4222A" w:rsidR="00F37141" w:rsidRDefault="00F37141" w:rsidP="00707D0C">
      <w:pPr>
        <w:pStyle w:val="Listaconnmeros"/>
        <w:numPr>
          <w:ilvl w:val="0"/>
          <w:numId w:val="0"/>
        </w:numPr>
        <w:tabs>
          <w:tab w:val="clear" w:pos="1515"/>
        </w:tabs>
        <w:spacing w:after="160" w:line="259" w:lineRule="auto"/>
        <w:ind w:left="360"/>
        <w:rPr>
          <w:lang w:val="en-US"/>
        </w:rPr>
      </w:pPr>
    </w:p>
    <w:p w14:paraId="31FF5464" w14:textId="78808F61" w:rsidR="00F37141" w:rsidRPr="00895890" w:rsidRDefault="001737E6" w:rsidP="00707D0C">
      <w:pPr>
        <w:pStyle w:val="Listaconnmeros"/>
        <w:numPr>
          <w:ilvl w:val="0"/>
          <w:numId w:val="0"/>
        </w:numPr>
        <w:tabs>
          <w:tab w:val="clear" w:pos="1515"/>
        </w:tabs>
        <w:spacing w:after="160" w:line="259" w:lineRule="auto"/>
        <w:ind w:left="360"/>
        <w:rPr>
          <w:b/>
          <w:bCs/>
          <w:lang w:val="en-US"/>
        </w:rPr>
      </w:pPr>
      <w:r w:rsidRPr="00895890">
        <w:rPr>
          <w:b/>
          <w:bCs/>
          <w:lang w:val="en-US"/>
        </w:rPr>
        <w:t>Critical Non-conformities</w:t>
      </w:r>
    </w:p>
    <w:p w14:paraId="51A8B997" w14:textId="247D3AA3" w:rsidR="001737E6" w:rsidRDefault="001737E6" w:rsidP="00707D0C">
      <w:pPr>
        <w:pStyle w:val="Listaconnmeros"/>
        <w:numPr>
          <w:ilvl w:val="0"/>
          <w:numId w:val="0"/>
        </w:numPr>
        <w:tabs>
          <w:tab w:val="clear" w:pos="1515"/>
        </w:tabs>
        <w:spacing w:after="160" w:line="259" w:lineRule="auto"/>
        <w:ind w:left="360"/>
        <w:rPr>
          <w:lang w:val="en-US"/>
        </w:rPr>
      </w:pPr>
      <w:r>
        <w:rPr>
          <w:lang w:val="en-US"/>
        </w:rPr>
        <w:t>- Closure of critical non-conformities in 1 month is not possible.</w:t>
      </w:r>
    </w:p>
    <w:p w14:paraId="733F4233" w14:textId="7D538E06" w:rsidR="00895890" w:rsidRDefault="00895890" w:rsidP="00707D0C">
      <w:pPr>
        <w:pStyle w:val="Listaconnmeros"/>
        <w:numPr>
          <w:ilvl w:val="0"/>
          <w:numId w:val="0"/>
        </w:numPr>
        <w:tabs>
          <w:tab w:val="clear" w:pos="1515"/>
        </w:tabs>
        <w:spacing w:after="160" w:line="259" w:lineRule="auto"/>
        <w:ind w:left="360"/>
        <w:rPr>
          <w:lang w:val="en-US"/>
        </w:rPr>
      </w:pPr>
      <w:r>
        <w:rPr>
          <w:lang w:val="en-US"/>
        </w:rPr>
        <w:t>- A critical non-conformity should trigger the certificate withdrawal</w:t>
      </w:r>
    </w:p>
    <w:p w14:paraId="78AA7CDA" w14:textId="1F1F764A" w:rsidR="001737E6" w:rsidRDefault="001737E6" w:rsidP="00707D0C">
      <w:pPr>
        <w:pStyle w:val="Listaconnmeros"/>
        <w:numPr>
          <w:ilvl w:val="0"/>
          <w:numId w:val="0"/>
        </w:numPr>
        <w:tabs>
          <w:tab w:val="clear" w:pos="1515"/>
        </w:tabs>
        <w:spacing w:after="160" w:line="259" w:lineRule="auto"/>
        <w:ind w:left="360"/>
        <w:rPr>
          <w:lang w:val="en-US"/>
        </w:rPr>
      </w:pPr>
    </w:p>
    <w:p w14:paraId="7D3143D1" w14:textId="77777777" w:rsidR="00895890" w:rsidRDefault="001737E6" w:rsidP="00707D0C">
      <w:pPr>
        <w:pStyle w:val="Listaconnmeros"/>
        <w:numPr>
          <w:ilvl w:val="0"/>
          <w:numId w:val="0"/>
        </w:numPr>
        <w:tabs>
          <w:tab w:val="clear" w:pos="1515"/>
        </w:tabs>
        <w:spacing w:after="160" w:line="259" w:lineRule="auto"/>
        <w:ind w:left="360"/>
        <w:rPr>
          <w:lang w:val="en-US"/>
        </w:rPr>
      </w:pPr>
      <w:r>
        <w:rPr>
          <w:lang w:val="en-US"/>
        </w:rPr>
        <w:t xml:space="preserve">Clause 18.6.2 </w:t>
      </w:r>
      <w:r w:rsidR="00895890">
        <w:rPr>
          <w:lang w:val="en-US"/>
        </w:rPr>
        <w:t>changes</w:t>
      </w:r>
      <w:r>
        <w:rPr>
          <w:lang w:val="en-US"/>
        </w:rPr>
        <w:t xml:space="preserve"> the deadline from 1 month to 3 months. </w:t>
      </w:r>
    </w:p>
    <w:p w14:paraId="1509BA58" w14:textId="634F2C88" w:rsidR="001737E6" w:rsidRDefault="00B83B1F" w:rsidP="00707D0C">
      <w:pPr>
        <w:pStyle w:val="Listaconnmeros"/>
        <w:numPr>
          <w:ilvl w:val="0"/>
          <w:numId w:val="0"/>
        </w:numPr>
        <w:tabs>
          <w:tab w:val="clear" w:pos="1515"/>
        </w:tabs>
        <w:spacing w:after="160" w:line="259" w:lineRule="auto"/>
        <w:ind w:left="360"/>
        <w:rPr>
          <w:lang w:val="en-US"/>
        </w:rPr>
      </w:pPr>
      <w:r>
        <w:rPr>
          <w:lang w:val="en-US"/>
        </w:rPr>
        <w:lastRenderedPageBreak/>
        <w:t>With the suspension t</w:t>
      </w:r>
      <w:r w:rsidR="001737E6">
        <w:rPr>
          <w:lang w:val="en-US"/>
        </w:rPr>
        <w:t>he integrity of ASC product is kept because with the critical NC the farm is suspended</w:t>
      </w:r>
      <w:r w:rsidR="00895890">
        <w:rPr>
          <w:lang w:val="en-US"/>
        </w:rPr>
        <w:t xml:space="preserve"> so the effect is that the farm is not able to sell ASC products until the critical NC is closed otherwise the certificate will be withdrawn.</w:t>
      </w:r>
    </w:p>
    <w:p w14:paraId="05EACAF3" w14:textId="1F75D66C" w:rsidR="00895890" w:rsidRDefault="00895890" w:rsidP="00707D0C">
      <w:pPr>
        <w:pStyle w:val="Listaconnmeros"/>
        <w:numPr>
          <w:ilvl w:val="0"/>
          <w:numId w:val="0"/>
        </w:numPr>
        <w:tabs>
          <w:tab w:val="clear" w:pos="1515"/>
        </w:tabs>
        <w:spacing w:after="160" w:line="259" w:lineRule="auto"/>
        <w:ind w:left="360"/>
        <w:rPr>
          <w:lang w:val="en-US"/>
        </w:rPr>
      </w:pPr>
    </w:p>
    <w:p w14:paraId="06AFA163" w14:textId="5B1B4578" w:rsidR="00895890" w:rsidRPr="00D45C4E" w:rsidRDefault="00144C60" w:rsidP="00707D0C">
      <w:pPr>
        <w:pStyle w:val="Listaconnmeros"/>
        <w:numPr>
          <w:ilvl w:val="0"/>
          <w:numId w:val="0"/>
        </w:numPr>
        <w:tabs>
          <w:tab w:val="clear" w:pos="1515"/>
        </w:tabs>
        <w:spacing w:after="160" w:line="259" w:lineRule="auto"/>
        <w:ind w:left="360"/>
        <w:rPr>
          <w:b/>
          <w:bCs/>
          <w:lang w:val="en-US"/>
        </w:rPr>
      </w:pPr>
      <w:r w:rsidRPr="00D45C4E">
        <w:rPr>
          <w:b/>
          <w:bCs/>
          <w:lang w:val="en-US"/>
        </w:rPr>
        <w:t>Traceability</w:t>
      </w:r>
    </w:p>
    <w:p w14:paraId="3E8F8244" w14:textId="4654025A" w:rsidR="00144C60" w:rsidRDefault="00144C60" w:rsidP="00707D0C">
      <w:pPr>
        <w:pStyle w:val="Listaconnmeros"/>
        <w:numPr>
          <w:ilvl w:val="0"/>
          <w:numId w:val="0"/>
        </w:numPr>
        <w:tabs>
          <w:tab w:val="clear" w:pos="1515"/>
        </w:tabs>
        <w:spacing w:after="160" w:line="259" w:lineRule="auto"/>
        <w:ind w:left="360"/>
        <w:rPr>
          <w:lang w:val="en-US"/>
        </w:rPr>
      </w:pPr>
      <w:r>
        <w:rPr>
          <w:lang w:val="en-US"/>
        </w:rPr>
        <w:t xml:space="preserve">- The evaluation of this requirements will </w:t>
      </w:r>
      <w:r w:rsidR="00862298">
        <w:rPr>
          <w:lang w:val="en-US"/>
        </w:rPr>
        <w:t>add</w:t>
      </w:r>
      <w:r>
        <w:rPr>
          <w:lang w:val="en-US"/>
        </w:rPr>
        <w:t xml:space="preserve"> more time and cost </w:t>
      </w:r>
      <w:r w:rsidR="00862298">
        <w:rPr>
          <w:lang w:val="en-US"/>
        </w:rPr>
        <w:t>to audits.</w:t>
      </w:r>
    </w:p>
    <w:p w14:paraId="1FEB0838" w14:textId="13452CC3" w:rsidR="00862298" w:rsidRDefault="00862298" w:rsidP="00707D0C">
      <w:pPr>
        <w:pStyle w:val="Listaconnmeros"/>
        <w:numPr>
          <w:ilvl w:val="0"/>
          <w:numId w:val="0"/>
        </w:numPr>
        <w:tabs>
          <w:tab w:val="clear" w:pos="1515"/>
        </w:tabs>
        <w:spacing w:after="160" w:line="259" w:lineRule="auto"/>
        <w:ind w:left="360"/>
        <w:rPr>
          <w:lang w:val="en-US"/>
        </w:rPr>
      </w:pPr>
      <w:r>
        <w:rPr>
          <w:lang w:val="en-US"/>
        </w:rPr>
        <w:t xml:space="preserve">- </w:t>
      </w:r>
      <w:r w:rsidR="003903D5">
        <w:rPr>
          <w:lang w:val="en-US"/>
        </w:rPr>
        <w:t>The number of production cycles to report in the confidential annex could be from 3 to 5 for short cycle species representing a time-consuming task.</w:t>
      </w:r>
    </w:p>
    <w:p w14:paraId="5335E3AC" w14:textId="6F04F5C2" w:rsidR="003903D5" w:rsidRDefault="003903D5" w:rsidP="00707D0C">
      <w:pPr>
        <w:pStyle w:val="Listaconnmeros"/>
        <w:numPr>
          <w:ilvl w:val="0"/>
          <w:numId w:val="0"/>
        </w:numPr>
        <w:tabs>
          <w:tab w:val="clear" w:pos="1515"/>
        </w:tabs>
        <w:spacing w:after="160" w:line="259" w:lineRule="auto"/>
        <w:ind w:left="360"/>
        <w:rPr>
          <w:lang w:val="en-US"/>
        </w:rPr>
      </w:pPr>
      <w:r>
        <w:rPr>
          <w:lang w:val="en-US"/>
        </w:rPr>
        <w:t>- Sponsored producers may not know if their products will be processed or not as ASC products in order to report the ASC and not ASC sales.</w:t>
      </w:r>
    </w:p>
    <w:p w14:paraId="2C550E83" w14:textId="135AC337" w:rsidR="003903D5" w:rsidRDefault="003903D5" w:rsidP="00707D0C">
      <w:pPr>
        <w:pStyle w:val="Listaconnmeros"/>
        <w:numPr>
          <w:ilvl w:val="0"/>
          <w:numId w:val="0"/>
        </w:numPr>
        <w:tabs>
          <w:tab w:val="clear" w:pos="1515"/>
        </w:tabs>
        <w:spacing w:after="160" w:line="259" w:lineRule="auto"/>
        <w:ind w:left="360"/>
        <w:rPr>
          <w:lang w:val="en-US"/>
        </w:rPr>
      </w:pPr>
    </w:p>
    <w:p w14:paraId="417E3A82" w14:textId="21FD3E28" w:rsidR="007B2ED5" w:rsidRDefault="007B2ED5" w:rsidP="007B2ED5">
      <w:pPr>
        <w:pStyle w:val="Listaconnmeros"/>
        <w:numPr>
          <w:ilvl w:val="0"/>
          <w:numId w:val="0"/>
        </w:numPr>
        <w:tabs>
          <w:tab w:val="clear" w:pos="1515"/>
        </w:tabs>
        <w:spacing w:after="160" w:line="259" w:lineRule="auto"/>
        <w:ind w:left="360"/>
        <w:rPr>
          <w:lang w:val="en-US"/>
        </w:rPr>
      </w:pPr>
      <w:r>
        <w:rPr>
          <w:lang w:val="en-US"/>
        </w:rPr>
        <w:t>The traceability evaluation was always a requirement in the ASC CAR, however, the information recorded in the traceability section of the audit reports is usually generic and not provide information about the evidence evaluated to determine that the traceability systems are sufficient to maintain the integrity of ASC products. The intent to breakdown the traceability requirements in more detailed and prescriptive clauses is to make the evaluation of traceability systems consistent despite the species and regions.</w:t>
      </w:r>
    </w:p>
    <w:p w14:paraId="0B464C64" w14:textId="47737B76" w:rsidR="007B2ED5" w:rsidRDefault="007B2ED5" w:rsidP="007B2ED5">
      <w:pPr>
        <w:pStyle w:val="Listaconnmeros"/>
        <w:numPr>
          <w:ilvl w:val="0"/>
          <w:numId w:val="0"/>
        </w:numPr>
        <w:tabs>
          <w:tab w:val="clear" w:pos="1515"/>
        </w:tabs>
        <w:spacing w:after="160" w:line="259" w:lineRule="auto"/>
        <w:ind w:left="360"/>
        <w:rPr>
          <w:lang w:val="en-US"/>
        </w:rPr>
      </w:pPr>
    </w:p>
    <w:p w14:paraId="34543084" w14:textId="3B44F315" w:rsidR="007B2ED5" w:rsidRDefault="007B2ED5" w:rsidP="007B2ED5">
      <w:pPr>
        <w:pStyle w:val="Listaconnmeros"/>
        <w:numPr>
          <w:ilvl w:val="0"/>
          <w:numId w:val="0"/>
        </w:numPr>
        <w:tabs>
          <w:tab w:val="clear" w:pos="1515"/>
        </w:tabs>
        <w:spacing w:after="160" w:line="259" w:lineRule="auto"/>
        <w:ind w:left="360"/>
        <w:rPr>
          <w:lang w:val="en-US"/>
        </w:rPr>
      </w:pPr>
      <w:r>
        <w:rPr>
          <w:lang w:val="en-US"/>
        </w:rPr>
        <w:t>We recognize that the recording</w:t>
      </w:r>
      <w:r w:rsidR="000D3370">
        <w:rPr>
          <w:lang w:val="en-US"/>
        </w:rPr>
        <w:t xml:space="preserve"> of sales information in the audit report is a new requirement, but the Requirements for Units of Certification ask the producers to prepare these reports in clause 15.3 so the auditors will only transfer that information to the audit report.</w:t>
      </w:r>
    </w:p>
    <w:p w14:paraId="5F2E4D49" w14:textId="1E311291" w:rsidR="000D3370" w:rsidRDefault="000D3370" w:rsidP="007B2ED5">
      <w:pPr>
        <w:pStyle w:val="Listaconnmeros"/>
        <w:numPr>
          <w:ilvl w:val="0"/>
          <w:numId w:val="0"/>
        </w:numPr>
        <w:tabs>
          <w:tab w:val="clear" w:pos="1515"/>
        </w:tabs>
        <w:spacing w:after="160" w:line="259" w:lineRule="auto"/>
        <w:ind w:left="360"/>
        <w:rPr>
          <w:lang w:val="en-US"/>
        </w:rPr>
      </w:pPr>
    </w:p>
    <w:p w14:paraId="5BA2190B" w14:textId="0F9A7F9C" w:rsidR="000D3370" w:rsidRDefault="000D3370" w:rsidP="007B2ED5">
      <w:pPr>
        <w:pStyle w:val="Listaconnmeros"/>
        <w:numPr>
          <w:ilvl w:val="0"/>
          <w:numId w:val="0"/>
        </w:numPr>
        <w:tabs>
          <w:tab w:val="clear" w:pos="1515"/>
        </w:tabs>
        <w:spacing w:after="160" w:line="259" w:lineRule="auto"/>
        <w:ind w:left="360"/>
        <w:rPr>
          <w:lang w:val="en-US"/>
        </w:rPr>
      </w:pPr>
      <w:r>
        <w:rPr>
          <w:lang w:val="en-US"/>
        </w:rPr>
        <w:t>In relation to the awareness of producers if they products are processed or not as ASC, clause 15.2 j requires to farms to identify the certified or not certified status of the products upon dispatch or sales, in cases where there is a product order from processors to the farm this will be clearly identified in the documentation in order to generate the yearly report of ASC and non-ASC sales.</w:t>
      </w:r>
    </w:p>
    <w:p w14:paraId="351E4097" w14:textId="3E9526B3" w:rsidR="00D45E83" w:rsidRDefault="00D45E83" w:rsidP="007B2ED5">
      <w:pPr>
        <w:pStyle w:val="Listaconnmeros"/>
        <w:numPr>
          <w:ilvl w:val="0"/>
          <w:numId w:val="0"/>
        </w:numPr>
        <w:tabs>
          <w:tab w:val="clear" w:pos="1515"/>
        </w:tabs>
        <w:spacing w:after="160" w:line="259" w:lineRule="auto"/>
        <w:ind w:left="360"/>
        <w:rPr>
          <w:lang w:val="en-US"/>
        </w:rPr>
      </w:pPr>
    </w:p>
    <w:p w14:paraId="7AFA68A8" w14:textId="76704F69" w:rsidR="00D45E83" w:rsidRDefault="00D45E83" w:rsidP="007B2ED5">
      <w:pPr>
        <w:pStyle w:val="Listaconnmeros"/>
        <w:numPr>
          <w:ilvl w:val="0"/>
          <w:numId w:val="0"/>
        </w:numPr>
        <w:tabs>
          <w:tab w:val="clear" w:pos="1515"/>
        </w:tabs>
        <w:spacing w:after="160" w:line="259" w:lineRule="auto"/>
        <w:ind w:left="360"/>
        <w:rPr>
          <w:b/>
          <w:bCs/>
          <w:lang w:val="en-US"/>
        </w:rPr>
      </w:pPr>
      <w:r w:rsidRPr="00D45E83">
        <w:rPr>
          <w:b/>
          <w:bCs/>
          <w:lang w:val="en-US"/>
        </w:rPr>
        <w:t>Audit reports and reviews</w:t>
      </w:r>
    </w:p>
    <w:p w14:paraId="4DA3683A" w14:textId="428D2703" w:rsidR="00D45E83" w:rsidRDefault="00D45E83" w:rsidP="00D45E83">
      <w:pPr>
        <w:pStyle w:val="Listaconnmeros"/>
        <w:numPr>
          <w:ilvl w:val="0"/>
          <w:numId w:val="19"/>
        </w:numPr>
        <w:tabs>
          <w:tab w:val="clear" w:pos="1515"/>
        </w:tabs>
        <w:spacing w:after="160" w:line="259" w:lineRule="auto"/>
        <w:rPr>
          <w:lang w:val="en-US"/>
        </w:rPr>
      </w:pPr>
      <w:r w:rsidRPr="00D45E83">
        <w:rPr>
          <w:lang w:val="en-US"/>
        </w:rPr>
        <w:t>The requir</w:t>
      </w:r>
      <w:r>
        <w:rPr>
          <w:lang w:val="en-US"/>
        </w:rPr>
        <w:t>e</w:t>
      </w:r>
      <w:r w:rsidRPr="00D45E83">
        <w:rPr>
          <w:lang w:val="en-US"/>
        </w:rPr>
        <w:t xml:space="preserve">ment </w:t>
      </w:r>
      <w:r>
        <w:rPr>
          <w:lang w:val="en-US"/>
        </w:rPr>
        <w:t>that the technical review of report shall be conducted by qualified lead auditors put pressure to the availability of competent auditors for audits and a different one for reviews.</w:t>
      </w:r>
    </w:p>
    <w:p w14:paraId="3C1E77EE" w14:textId="7614C0AA" w:rsidR="00D45E83" w:rsidRDefault="00D45E83" w:rsidP="00D45E83">
      <w:pPr>
        <w:pStyle w:val="Listaconnmeros"/>
        <w:numPr>
          <w:ilvl w:val="0"/>
          <w:numId w:val="0"/>
        </w:numPr>
        <w:tabs>
          <w:tab w:val="clear" w:pos="1515"/>
        </w:tabs>
        <w:spacing w:after="160" w:line="259" w:lineRule="auto"/>
        <w:ind w:left="360"/>
        <w:rPr>
          <w:lang w:val="en-US"/>
        </w:rPr>
      </w:pPr>
    </w:p>
    <w:p w14:paraId="15302429" w14:textId="4EB65791" w:rsidR="00D45E83" w:rsidRDefault="00D45E83" w:rsidP="00D45E83">
      <w:pPr>
        <w:pStyle w:val="Listaconnmeros"/>
        <w:numPr>
          <w:ilvl w:val="0"/>
          <w:numId w:val="0"/>
        </w:numPr>
        <w:tabs>
          <w:tab w:val="clear" w:pos="1515"/>
        </w:tabs>
        <w:spacing w:after="160" w:line="259" w:lineRule="auto"/>
        <w:ind w:left="360"/>
        <w:rPr>
          <w:lang w:val="en-US"/>
        </w:rPr>
      </w:pPr>
      <w:r>
        <w:rPr>
          <w:lang w:val="en-US"/>
        </w:rPr>
        <w:t xml:space="preserve">We understand that the process to qualify an ASC auditor takes time and training to gain experience </w:t>
      </w:r>
      <w:r w:rsidR="00DF697E">
        <w:rPr>
          <w:lang w:val="en-US"/>
        </w:rPr>
        <w:t>and to require that technical reviewers to be also ASC auditors will demand efforts from CABs to train additional staff in some cases. Therefore, we decided to allow other auditing and technical reviewing experience in other aquaculture schemes to fulfill technical reviewer qualification.</w:t>
      </w:r>
    </w:p>
    <w:p w14:paraId="444A2852" w14:textId="1F6FCDFD" w:rsidR="007F5A59" w:rsidRDefault="007F5A59" w:rsidP="00D45E83">
      <w:pPr>
        <w:pStyle w:val="Listaconnmeros"/>
        <w:numPr>
          <w:ilvl w:val="0"/>
          <w:numId w:val="0"/>
        </w:numPr>
        <w:tabs>
          <w:tab w:val="clear" w:pos="1515"/>
        </w:tabs>
        <w:spacing w:after="160" w:line="259" w:lineRule="auto"/>
        <w:ind w:left="360"/>
        <w:rPr>
          <w:lang w:val="en-US"/>
        </w:rPr>
      </w:pPr>
    </w:p>
    <w:p w14:paraId="0BB11752" w14:textId="54D3B131" w:rsidR="001E4800" w:rsidRPr="00D85989" w:rsidRDefault="001E4800" w:rsidP="001E4800">
      <w:pPr>
        <w:pStyle w:val="Listaconnmeros"/>
        <w:numPr>
          <w:ilvl w:val="0"/>
          <w:numId w:val="0"/>
        </w:numPr>
        <w:tabs>
          <w:tab w:val="clear" w:pos="1515"/>
        </w:tabs>
        <w:spacing w:after="160" w:line="259" w:lineRule="auto"/>
        <w:ind w:left="360"/>
        <w:rPr>
          <w:b/>
          <w:bCs/>
          <w:lang w:val="en-US"/>
        </w:rPr>
      </w:pPr>
      <w:r w:rsidRPr="00D85989">
        <w:rPr>
          <w:b/>
          <w:bCs/>
          <w:lang w:val="en-US"/>
        </w:rPr>
        <w:t>Certification decisions</w:t>
      </w:r>
    </w:p>
    <w:p w14:paraId="1E55AC36" w14:textId="651D3317" w:rsidR="009A14F8" w:rsidRDefault="001E4800" w:rsidP="009A14F8">
      <w:pPr>
        <w:pStyle w:val="Listaconnmeros"/>
        <w:numPr>
          <w:ilvl w:val="0"/>
          <w:numId w:val="19"/>
        </w:numPr>
        <w:tabs>
          <w:tab w:val="clear" w:pos="1515"/>
        </w:tabs>
        <w:spacing w:after="160" w:line="259" w:lineRule="auto"/>
        <w:rPr>
          <w:lang w:val="en-US"/>
        </w:rPr>
      </w:pPr>
      <w:r>
        <w:rPr>
          <w:lang w:val="en-US"/>
        </w:rPr>
        <w:t>Conduct a full re-audit if a certification decision is not taken in 6 months after the audit should consider the circumstances as delays on decisions of a VR</w:t>
      </w:r>
      <w:r w:rsidR="009A14F8">
        <w:rPr>
          <w:lang w:val="en-US"/>
        </w:rPr>
        <w:t xml:space="preserve"> by ASC.</w:t>
      </w:r>
    </w:p>
    <w:p w14:paraId="71974A2A" w14:textId="77777777" w:rsidR="009A14F8" w:rsidRDefault="009A14F8" w:rsidP="009A14F8">
      <w:pPr>
        <w:pStyle w:val="Listaconnmeros"/>
        <w:numPr>
          <w:ilvl w:val="0"/>
          <w:numId w:val="0"/>
        </w:numPr>
        <w:tabs>
          <w:tab w:val="clear" w:pos="1515"/>
        </w:tabs>
        <w:spacing w:after="160" w:line="259" w:lineRule="auto"/>
        <w:ind w:left="360"/>
        <w:rPr>
          <w:lang w:val="en-US"/>
        </w:rPr>
      </w:pPr>
    </w:p>
    <w:p w14:paraId="2C3DE268" w14:textId="1B2BA7F3" w:rsidR="009A14F8" w:rsidRDefault="009A14F8" w:rsidP="009A14F8">
      <w:pPr>
        <w:pStyle w:val="Listaconnmeros"/>
        <w:numPr>
          <w:ilvl w:val="0"/>
          <w:numId w:val="0"/>
        </w:numPr>
        <w:tabs>
          <w:tab w:val="clear" w:pos="1515"/>
        </w:tabs>
        <w:spacing w:after="160" w:line="259" w:lineRule="auto"/>
        <w:ind w:left="360"/>
        <w:rPr>
          <w:lang w:val="en-US"/>
        </w:rPr>
      </w:pPr>
      <w:r>
        <w:rPr>
          <w:lang w:val="en-US"/>
        </w:rPr>
        <w:t xml:space="preserve">ASC has released the new VR procedure which have </w:t>
      </w:r>
      <w:r w:rsidR="00D85989">
        <w:rPr>
          <w:lang w:val="en-US"/>
        </w:rPr>
        <w:t xml:space="preserve">stricter </w:t>
      </w:r>
      <w:proofErr w:type="spellStart"/>
      <w:r w:rsidR="00D85989">
        <w:rPr>
          <w:lang w:val="en-US"/>
        </w:rPr>
        <w:t>timeliens</w:t>
      </w:r>
      <w:proofErr w:type="spellEnd"/>
      <w:r w:rsidR="00D85989">
        <w:rPr>
          <w:lang w:val="en-US"/>
        </w:rPr>
        <w:t xml:space="preserve"> for ASC to take a decision on a VR and the procedure only allows to submit VRs in less than 15 working days from the audit, therefore, the VRs will be processed earlier if is related to the certification decision.</w:t>
      </w:r>
    </w:p>
    <w:p w14:paraId="74D6CB5F" w14:textId="5195AA9F" w:rsidR="00D85989" w:rsidRDefault="00D85989" w:rsidP="009A14F8">
      <w:pPr>
        <w:pStyle w:val="Listaconnmeros"/>
        <w:numPr>
          <w:ilvl w:val="0"/>
          <w:numId w:val="0"/>
        </w:numPr>
        <w:tabs>
          <w:tab w:val="clear" w:pos="1515"/>
        </w:tabs>
        <w:spacing w:after="160" w:line="259" w:lineRule="auto"/>
        <w:ind w:left="360"/>
        <w:rPr>
          <w:lang w:val="en-US"/>
        </w:rPr>
      </w:pPr>
    </w:p>
    <w:p w14:paraId="75BF80C2" w14:textId="02962FAA" w:rsidR="00D85989" w:rsidRDefault="009267D9" w:rsidP="009A14F8">
      <w:pPr>
        <w:pStyle w:val="Listaconnmeros"/>
        <w:numPr>
          <w:ilvl w:val="0"/>
          <w:numId w:val="0"/>
        </w:numPr>
        <w:tabs>
          <w:tab w:val="clear" w:pos="1515"/>
        </w:tabs>
        <w:spacing w:after="160" w:line="259" w:lineRule="auto"/>
        <w:ind w:left="360"/>
        <w:rPr>
          <w:b/>
          <w:bCs/>
          <w:lang w:val="en-US"/>
        </w:rPr>
      </w:pPr>
      <w:r>
        <w:rPr>
          <w:b/>
          <w:bCs/>
          <w:lang w:val="en-US"/>
        </w:rPr>
        <w:t>Surveillance</w:t>
      </w:r>
    </w:p>
    <w:p w14:paraId="56AF397D" w14:textId="7065576C" w:rsidR="009267D9" w:rsidRPr="009267D9" w:rsidRDefault="009267D9" w:rsidP="009267D9">
      <w:pPr>
        <w:pStyle w:val="Listaconnmeros"/>
        <w:numPr>
          <w:ilvl w:val="0"/>
          <w:numId w:val="19"/>
        </w:numPr>
        <w:tabs>
          <w:tab w:val="clear" w:pos="1515"/>
        </w:tabs>
        <w:spacing w:after="160" w:line="259" w:lineRule="auto"/>
        <w:rPr>
          <w:b/>
          <w:bCs/>
          <w:lang w:val="en-US"/>
        </w:rPr>
      </w:pPr>
      <w:r>
        <w:rPr>
          <w:lang w:val="en-US"/>
        </w:rPr>
        <w:t>The evaluation of indicators which are not critical only once during the certification cycle will give room for non-compliances that might appear only at recertification and as consequence the commercialization of non-compliant product as ASC certified.</w:t>
      </w:r>
    </w:p>
    <w:p w14:paraId="7AD7B574" w14:textId="3811167B" w:rsidR="009267D9" w:rsidRDefault="009267D9" w:rsidP="009267D9">
      <w:pPr>
        <w:pStyle w:val="Listaconnmeros"/>
        <w:numPr>
          <w:ilvl w:val="0"/>
          <w:numId w:val="0"/>
        </w:numPr>
        <w:tabs>
          <w:tab w:val="clear" w:pos="1515"/>
        </w:tabs>
        <w:spacing w:after="160" w:line="259" w:lineRule="auto"/>
        <w:ind w:left="720"/>
        <w:rPr>
          <w:lang w:val="en-US"/>
        </w:rPr>
      </w:pPr>
    </w:p>
    <w:p w14:paraId="1165818B" w14:textId="752FD3FE" w:rsidR="002E73E1" w:rsidRDefault="009267D9" w:rsidP="002E73E1">
      <w:pPr>
        <w:pStyle w:val="Listaconnmeros"/>
        <w:numPr>
          <w:ilvl w:val="0"/>
          <w:numId w:val="0"/>
        </w:numPr>
        <w:tabs>
          <w:tab w:val="clear" w:pos="1515"/>
        </w:tabs>
        <w:spacing w:after="160" w:line="259" w:lineRule="auto"/>
        <w:ind w:left="720"/>
        <w:rPr>
          <w:lang w:val="en-US"/>
        </w:rPr>
      </w:pPr>
      <w:r>
        <w:rPr>
          <w:lang w:val="en-US"/>
        </w:rPr>
        <w:t>Being the metric indicators the ones that might change in every audit and determine the compliance of ASC production batches, clause 24.2.1 makes mandatory the evaluation of metrical indicators in every audit.</w:t>
      </w:r>
    </w:p>
    <w:p w14:paraId="46E4B84D" w14:textId="2FD5F978" w:rsidR="002E73E1" w:rsidRDefault="002E73E1" w:rsidP="002E73E1">
      <w:pPr>
        <w:pStyle w:val="Listaconnmeros"/>
        <w:numPr>
          <w:ilvl w:val="0"/>
          <w:numId w:val="0"/>
        </w:numPr>
        <w:tabs>
          <w:tab w:val="clear" w:pos="1515"/>
        </w:tabs>
        <w:spacing w:after="160" w:line="259" w:lineRule="auto"/>
        <w:ind w:left="720"/>
        <w:rPr>
          <w:lang w:val="en-US"/>
        </w:rPr>
      </w:pPr>
    </w:p>
    <w:p w14:paraId="3ED03A2C" w14:textId="7E392B0E" w:rsidR="002E73E1" w:rsidRDefault="002E73E1" w:rsidP="002E73E1">
      <w:pPr>
        <w:pStyle w:val="Listaconnmeros"/>
        <w:numPr>
          <w:ilvl w:val="0"/>
          <w:numId w:val="0"/>
        </w:numPr>
        <w:tabs>
          <w:tab w:val="clear" w:pos="1515"/>
        </w:tabs>
        <w:spacing w:after="160" w:line="259" w:lineRule="auto"/>
        <w:ind w:left="426"/>
        <w:rPr>
          <w:b/>
          <w:bCs/>
          <w:lang w:val="en-US"/>
        </w:rPr>
      </w:pPr>
      <w:r>
        <w:rPr>
          <w:b/>
          <w:bCs/>
          <w:lang w:val="en-US"/>
        </w:rPr>
        <w:t>Unannounced audits</w:t>
      </w:r>
    </w:p>
    <w:p w14:paraId="7235B5D0" w14:textId="253510E9" w:rsidR="002E73E1" w:rsidRPr="00F21FFB" w:rsidRDefault="002E73E1" w:rsidP="002E73E1">
      <w:pPr>
        <w:pStyle w:val="Listaconnmeros"/>
        <w:numPr>
          <w:ilvl w:val="0"/>
          <w:numId w:val="19"/>
        </w:numPr>
        <w:tabs>
          <w:tab w:val="clear" w:pos="1515"/>
        </w:tabs>
        <w:spacing w:after="160" w:line="259" w:lineRule="auto"/>
        <w:rPr>
          <w:b/>
          <w:bCs/>
          <w:lang w:val="en-US"/>
        </w:rPr>
      </w:pPr>
      <w:r>
        <w:rPr>
          <w:lang w:val="en-US"/>
        </w:rPr>
        <w:t xml:space="preserve">It </w:t>
      </w:r>
      <w:r w:rsidR="00F21FFB">
        <w:rPr>
          <w:lang w:val="en-US"/>
        </w:rPr>
        <w:t>is not clear the intent to have a mandatory minimum of unannounced audits.</w:t>
      </w:r>
      <w:r>
        <w:rPr>
          <w:lang w:val="en-US"/>
        </w:rPr>
        <w:t xml:space="preserve"> The requirement of 10% of the clients audited without announcement will bring tension between the CABs and clients and these additional audits will make higher the certification cost.</w:t>
      </w:r>
    </w:p>
    <w:p w14:paraId="7FD68D10" w14:textId="4ECDCECB" w:rsidR="00F21FFB" w:rsidRDefault="00F21FFB" w:rsidP="00F21FFB">
      <w:pPr>
        <w:pStyle w:val="Listaconnmeros"/>
        <w:numPr>
          <w:ilvl w:val="0"/>
          <w:numId w:val="0"/>
        </w:numPr>
        <w:tabs>
          <w:tab w:val="clear" w:pos="1515"/>
        </w:tabs>
        <w:spacing w:after="160" w:line="259" w:lineRule="auto"/>
        <w:ind w:left="360" w:hanging="360"/>
        <w:rPr>
          <w:lang w:val="en-US"/>
        </w:rPr>
      </w:pPr>
    </w:p>
    <w:p w14:paraId="48830FE5" w14:textId="0CA5CC1B" w:rsidR="00F21FFB" w:rsidRPr="00F21FFB" w:rsidRDefault="00F21FFB" w:rsidP="00F21FFB">
      <w:pPr>
        <w:pStyle w:val="Listaconnmeros"/>
        <w:numPr>
          <w:ilvl w:val="0"/>
          <w:numId w:val="0"/>
        </w:numPr>
        <w:tabs>
          <w:tab w:val="clear" w:pos="1515"/>
        </w:tabs>
        <w:spacing w:after="160" w:line="259" w:lineRule="auto"/>
        <w:ind w:left="720"/>
        <w:rPr>
          <w:lang w:val="en-US"/>
        </w:rPr>
      </w:pPr>
      <w:r>
        <w:rPr>
          <w:lang w:val="en-US"/>
        </w:rPr>
        <w:t>The intent of unannounced audits is to deter certificate holders to perform practices not aligned with the ASC standards. To maintain the cost of certification the CAB may plan unannounced audits as surveillance audits</w:t>
      </w:r>
    </w:p>
    <w:sectPr w:rsidR="00F21FFB" w:rsidRPr="00F21FFB" w:rsidSect="00846675">
      <w:headerReference w:type="default" r:id="rId11"/>
      <w:footerReference w:type="default" r:id="rId12"/>
      <w:headerReference w:type="first" r:id="rId13"/>
      <w:footerReference w:type="first" r:id="rId14"/>
      <w:pgSz w:w="11906" w:h="16838"/>
      <w:pgMar w:top="1440" w:right="1080" w:bottom="1440" w:left="10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9C9E" w14:textId="77777777" w:rsidR="00BC3BD0" w:rsidRDefault="00BC3BD0" w:rsidP="00846675">
      <w:r>
        <w:separator/>
      </w:r>
    </w:p>
  </w:endnote>
  <w:endnote w:type="continuationSeparator" w:id="0">
    <w:p w14:paraId="41D95882" w14:textId="77777777" w:rsidR="00BC3BD0" w:rsidRDefault="00BC3BD0" w:rsidP="0084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E148" w14:textId="7D7F7806" w:rsidR="009267D9" w:rsidRDefault="009267D9" w:rsidP="0093523B">
    <w:pPr>
      <w:pStyle w:val="Piedepgina"/>
      <w:tabs>
        <w:tab w:val="clear" w:pos="9026"/>
        <w:tab w:val="right" w:pos="9746"/>
      </w:tabs>
    </w:pPr>
    <w:r>
      <w:t xml:space="preserve">TAG-2021.01-17- CAR revision and RUoC development </w:t>
    </w:r>
    <w:sdt>
      <w:sdtPr>
        <w:id w:val="1273741899"/>
        <w:docPartObj>
          <w:docPartGallery w:val="Page Numbers (Bottom of Page)"/>
          <w:docPartUnique/>
        </w:docPartObj>
      </w:sdtPr>
      <w:sdtEndPr>
        <w:rPr>
          <w:noProof/>
        </w:rPr>
      </w:sdtEndPr>
      <w:sdtContent>
        <w:r>
          <w:tab/>
        </w:r>
        <w:r>
          <w:tab/>
        </w:r>
        <w:r>
          <w:tab/>
        </w:r>
        <w:r>
          <w:fldChar w:fldCharType="begin"/>
        </w:r>
        <w:r>
          <w:instrText xml:space="preserve"> PAGE   \* MERGEFORMAT </w:instrText>
        </w:r>
        <w:r>
          <w:fldChar w:fldCharType="separate"/>
        </w:r>
        <w:r>
          <w:rPr>
            <w:noProof/>
          </w:rPr>
          <w:t>2</w:t>
        </w:r>
        <w:r>
          <w:rPr>
            <w:noProof/>
          </w:rPr>
          <w:fldChar w:fldCharType="end"/>
        </w:r>
      </w:sdtContent>
    </w:sdt>
  </w:p>
  <w:p w14:paraId="37CA7BD2" w14:textId="77777777" w:rsidR="009267D9" w:rsidRDefault="009267D9" w:rsidP="00C165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768834"/>
      <w:docPartObj>
        <w:docPartGallery w:val="Page Numbers (Bottom of Page)"/>
        <w:docPartUnique/>
      </w:docPartObj>
    </w:sdtPr>
    <w:sdtEndPr>
      <w:rPr>
        <w:noProof/>
      </w:rPr>
    </w:sdtEndPr>
    <w:sdtContent>
      <w:p w14:paraId="3566EF0C" w14:textId="532DB286" w:rsidR="009267D9" w:rsidRDefault="009267D9" w:rsidP="0093523B">
        <w:pPr>
          <w:pStyle w:val="Piedepgina"/>
          <w:tabs>
            <w:tab w:val="clear" w:pos="9026"/>
            <w:tab w:val="right" w:pos="9746"/>
          </w:tabs>
        </w:pP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94E1" w14:textId="77777777" w:rsidR="00BC3BD0" w:rsidRDefault="00BC3BD0" w:rsidP="00846675">
      <w:r>
        <w:separator/>
      </w:r>
    </w:p>
  </w:footnote>
  <w:footnote w:type="continuationSeparator" w:id="0">
    <w:p w14:paraId="41D5FE8E" w14:textId="77777777" w:rsidR="00BC3BD0" w:rsidRDefault="00BC3BD0" w:rsidP="0084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3F17" w14:textId="77777777" w:rsidR="009267D9" w:rsidRPr="00846675" w:rsidRDefault="009267D9" w:rsidP="00846675">
    <w:pPr>
      <w:pStyle w:val="Encabezado"/>
      <w:jc w:val="center"/>
      <w:rPr>
        <w:lang w:val="en-US"/>
      </w:rPr>
    </w:pPr>
    <w:r>
      <w:rPr>
        <w:lang w:val="en-US"/>
      </w:rPr>
      <w:t>TAG – 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78"/>
      <w:gridCol w:w="2655"/>
    </w:tblGrid>
    <w:tr w:rsidR="009267D9" w:rsidRPr="00846675" w14:paraId="7C8CFF79" w14:textId="77777777" w:rsidTr="00F22DF6">
      <w:trPr>
        <w:trHeight w:val="274"/>
      </w:trPr>
      <w:tc>
        <w:tcPr>
          <w:tcW w:w="1560" w:type="dxa"/>
        </w:tcPr>
        <w:p w14:paraId="1D100CF3" w14:textId="7CB2DFF6" w:rsidR="009267D9" w:rsidRPr="00846675" w:rsidRDefault="009267D9" w:rsidP="00F22DF6">
          <w:pPr>
            <w:pStyle w:val="Encabezado"/>
          </w:pPr>
          <w:r w:rsidRPr="00846675">
            <w:rPr>
              <w:rFonts w:cs="Arial"/>
              <w:noProof/>
              <w:sz w:val="22"/>
              <w:szCs w:val="22"/>
              <w:lang w:eastAsia="en-GB"/>
            </w:rPr>
            <w:drawing>
              <wp:anchor distT="0" distB="0" distL="114300" distR="114300" simplePos="0" relativeHeight="251667456" behindDoc="1" locked="0" layoutInCell="1" allowOverlap="1" wp14:anchorId="42F1A888" wp14:editId="4BDB34DC">
                <wp:simplePos x="0" y="0"/>
                <wp:positionH relativeFrom="margin">
                  <wp:posOffset>5050465</wp:posOffset>
                </wp:positionH>
                <wp:positionV relativeFrom="paragraph">
                  <wp:posOffset>-56366</wp:posOffset>
                </wp:positionV>
                <wp:extent cx="1070861" cy="5132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_Logo_ENG_Landscap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185" cy="515796"/>
                        </a:xfrm>
                        <a:prstGeom prst="rect">
                          <a:avLst/>
                        </a:prstGeom>
                      </pic:spPr>
                    </pic:pic>
                  </a:graphicData>
                </a:graphic>
                <wp14:sizeRelH relativeFrom="page">
                  <wp14:pctWidth>0</wp14:pctWidth>
                </wp14:sizeRelH>
                <wp14:sizeRelV relativeFrom="page">
                  <wp14:pctHeight>0</wp14:pctHeight>
                </wp14:sizeRelV>
              </wp:anchor>
            </w:drawing>
          </w:r>
        </w:p>
      </w:tc>
      <w:tc>
        <w:tcPr>
          <w:tcW w:w="6378" w:type="dxa"/>
        </w:tcPr>
        <w:p w14:paraId="0BCD8140" w14:textId="3C1E0CED" w:rsidR="009267D9" w:rsidRPr="00846675" w:rsidRDefault="009267D9" w:rsidP="007308A8">
          <w:pPr>
            <w:pStyle w:val="Encabezado"/>
            <w:rPr>
              <w:rFonts w:cs="Arial"/>
              <w:noProof/>
              <w:sz w:val="22"/>
              <w:szCs w:val="22"/>
              <w:lang w:eastAsia="en-GB"/>
            </w:rPr>
          </w:pPr>
        </w:p>
      </w:tc>
      <w:tc>
        <w:tcPr>
          <w:tcW w:w="2655" w:type="dxa"/>
        </w:tcPr>
        <w:p w14:paraId="65E425DA" w14:textId="77777777" w:rsidR="009267D9" w:rsidRPr="00846675" w:rsidRDefault="009267D9" w:rsidP="00846675">
          <w:pPr>
            <w:pStyle w:val="Encabezado"/>
            <w:rPr>
              <w:rFonts w:cs="Arial"/>
              <w:noProof/>
              <w:sz w:val="22"/>
              <w:szCs w:val="22"/>
              <w:lang w:eastAsia="en-GB"/>
            </w:rPr>
          </w:pPr>
        </w:p>
      </w:tc>
    </w:tr>
    <w:tr w:rsidR="009267D9" w14:paraId="6730CB89" w14:textId="77777777" w:rsidTr="00D06DBC">
      <w:trPr>
        <w:trHeight w:val="155"/>
      </w:trPr>
      <w:tc>
        <w:tcPr>
          <w:tcW w:w="1560" w:type="dxa"/>
        </w:tcPr>
        <w:p w14:paraId="4831B8A5" w14:textId="055CB862" w:rsidR="009267D9" w:rsidRDefault="009267D9" w:rsidP="00846675">
          <w:pPr>
            <w:pStyle w:val="Encabezado"/>
          </w:pPr>
        </w:p>
      </w:tc>
      <w:tc>
        <w:tcPr>
          <w:tcW w:w="6378" w:type="dxa"/>
        </w:tcPr>
        <w:p w14:paraId="36857D2A" w14:textId="60DFD0DE" w:rsidR="009267D9" w:rsidRPr="00846675" w:rsidRDefault="009267D9" w:rsidP="007308A8">
          <w:pPr>
            <w:pStyle w:val="Encabezado"/>
          </w:pPr>
        </w:p>
      </w:tc>
      <w:tc>
        <w:tcPr>
          <w:tcW w:w="2655" w:type="dxa"/>
        </w:tcPr>
        <w:p w14:paraId="3A1F8B53" w14:textId="77777777" w:rsidR="009267D9" w:rsidRPr="00846675" w:rsidRDefault="009267D9" w:rsidP="00846675">
          <w:pPr>
            <w:pStyle w:val="Encabezado"/>
          </w:pPr>
        </w:p>
      </w:tc>
    </w:tr>
    <w:tr w:rsidR="009267D9" w14:paraId="502332C3" w14:textId="77777777" w:rsidTr="00F22DF6">
      <w:trPr>
        <w:trHeight w:val="241"/>
      </w:trPr>
      <w:tc>
        <w:tcPr>
          <w:tcW w:w="1560" w:type="dxa"/>
        </w:tcPr>
        <w:p w14:paraId="55FD458C" w14:textId="74FD6F95" w:rsidR="009267D9" w:rsidRPr="00846675" w:rsidRDefault="009267D9" w:rsidP="00846675">
          <w:pPr>
            <w:pStyle w:val="Encabezado"/>
          </w:pPr>
        </w:p>
      </w:tc>
      <w:tc>
        <w:tcPr>
          <w:tcW w:w="6378" w:type="dxa"/>
        </w:tcPr>
        <w:p w14:paraId="7061F295" w14:textId="511A3203" w:rsidR="009267D9" w:rsidRPr="00846675" w:rsidRDefault="009267D9" w:rsidP="00846675">
          <w:pPr>
            <w:pStyle w:val="Encabezado"/>
          </w:pPr>
        </w:p>
      </w:tc>
      <w:tc>
        <w:tcPr>
          <w:tcW w:w="2655" w:type="dxa"/>
        </w:tcPr>
        <w:p w14:paraId="78A43F74" w14:textId="77777777" w:rsidR="009267D9" w:rsidRPr="00846675" w:rsidRDefault="009267D9" w:rsidP="00846675">
          <w:pPr>
            <w:pStyle w:val="Encabezado"/>
          </w:pPr>
        </w:p>
      </w:tc>
    </w:tr>
  </w:tbl>
  <w:p w14:paraId="79372B53" w14:textId="77777777" w:rsidR="009267D9" w:rsidRDefault="009267D9">
    <w:pPr>
      <w:pStyle w:val="Encabezado"/>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FC26BC"/>
    <w:lvl w:ilvl="0">
      <w:start w:val="1"/>
      <w:numFmt w:val="decimal"/>
      <w:pStyle w:val="Listaconnmeros"/>
      <w:lvlText w:val="%1."/>
      <w:lvlJc w:val="left"/>
      <w:pPr>
        <w:tabs>
          <w:tab w:val="num" w:pos="360"/>
        </w:tabs>
        <w:ind w:left="360" w:hanging="360"/>
      </w:pPr>
      <w:rPr>
        <w:b w:val="0"/>
      </w:rPr>
    </w:lvl>
  </w:abstractNum>
  <w:abstractNum w:abstractNumId="1" w15:restartNumberingAfterBreak="0">
    <w:nsid w:val="067C75DF"/>
    <w:multiLevelType w:val="multilevel"/>
    <w:tmpl w:val="9E1068E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51556"/>
    <w:multiLevelType w:val="hybridMultilevel"/>
    <w:tmpl w:val="8A7C4DA0"/>
    <w:lvl w:ilvl="0" w:tplc="76A89158">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A4163"/>
    <w:multiLevelType w:val="hybridMultilevel"/>
    <w:tmpl w:val="8384FC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C913A5A"/>
    <w:multiLevelType w:val="hybridMultilevel"/>
    <w:tmpl w:val="F00A3A0A"/>
    <w:lvl w:ilvl="0" w:tplc="BBFC333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4924E7"/>
    <w:multiLevelType w:val="hybridMultilevel"/>
    <w:tmpl w:val="DE74B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4F09E1"/>
    <w:multiLevelType w:val="multilevel"/>
    <w:tmpl w:val="ACC2F966"/>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3B7500"/>
    <w:multiLevelType w:val="multilevel"/>
    <w:tmpl w:val="A48C34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F18CD"/>
    <w:multiLevelType w:val="multilevel"/>
    <w:tmpl w:val="9BDCB342"/>
    <w:numStyleLink w:val="FCR"/>
  </w:abstractNum>
  <w:abstractNum w:abstractNumId="9" w15:restartNumberingAfterBreak="0">
    <w:nsid w:val="4BB1124D"/>
    <w:multiLevelType w:val="hybridMultilevel"/>
    <w:tmpl w:val="99865A5A"/>
    <w:styleLink w:val="ImportedStyle3"/>
    <w:lvl w:ilvl="0" w:tplc="93128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8A7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D06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B495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12C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08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C090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F260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82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1838E3"/>
    <w:multiLevelType w:val="hybridMultilevel"/>
    <w:tmpl w:val="0A0E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345A75"/>
    <w:multiLevelType w:val="hybridMultilevel"/>
    <w:tmpl w:val="274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BD6D57"/>
    <w:multiLevelType w:val="multilevel"/>
    <w:tmpl w:val="D8164E6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D453F6"/>
    <w:multiLevelType w:val="multilevel"/>
    <w:tmpl w:val="9BDCB342"/>
    <w:styleLink w:val="FCR"/>
    <w:lvl w:ilvl="0">
      <w:start w:val="1"/>
      <w:numFmt w:val="decimal"/>
      <w:lvlText w:val="%1."/>
      <w:lvlJc w:val="left"/>
      <w:pPr>
        <w:ind w:left="1134" w:hanging="1134"/>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1134" w:hanging="113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1.%2.%3.%4."/>
      <w:lvlJc w:val="left"/>
      <w:pPr>
        <w:ind w:left="1134" w:hanging="113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lvlText w:val="%5)"/>
      <w:lvlJc w:val="left"/>
      <w:pPr>
        <w:tabs>
          <w:tab w:val="left" w:pos="4621"/>
        </w:tabs>
        <w:ind w:left="1531" w:hanging="397"/>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lvlText w:val="%6."/>
      <w:lvlJc w:val="left"/>
      <w:pPr>
        <w:tabs>
          <w:tab w:val="left" w:pos="4621"/>
        </w:tabs>
        <w:ind w:left="2129"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upperLetter"/>
      <w:lvlText w:val="%7."/>
      <w:lvlJc w:val="left"/>
      <w:pPr>
        <w:tabs>
          <w:tab w:val="left" w:pos="4621"/>
        </w:tabs>
        <w:ind w:left="2980"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tabs>
          <w:tab w:val="left" w:pos="4621"/>
        </w:tabs>
        <w:ind w:left="3549"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lvlText w:val="%9."/>
      <w:lvlJc w:val="left"/>
      <w:pPr>
        <w:tabs>
          <w:tab w:val="left" w:pos="4621"/>
        </w:tabs>
        <w:ind w:left="4015"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6D0A6287"/>
    <w:multiLevelType w:val="hybridMultilevel"/>
    <w:tmpl w:val="5E9CF348"/>
    <w:lvl w:ilvl="0" w:tplc="637038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5C0F9B"/>
    <w:multiLevelType w:val="hybridMultilevel"/>
    <w:tmpl w:val="CBA638C2"/>
    <w:lvl w:ilvl="0" w:tplc="F34C6876">
      <w:start w:val="1"/>
      <w:numFmt w:val="bullet"/>
      <w:pStyle w:val="Prrafodelist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742946">
    <w:abstractNumId w:val="6"/>
  </w:num>
  <w:num w:numId="2" w16cid:durableId="1344891362">
    <w:abstractNumId w:val="15"/>
  </w:num>
  <w:num w:numId="3" w16cid:durableId="370879942">
    <w:abstractNumId w:val="0"/>
  </w:num>
  <w:num w:numId="4" w16cid:durableId="1229995718">
    <w:abstractNumId w:val="11"/>
  </w:num>
  <w:num w:numId="5" w16cid:durableId="1304044290">
    <w:abstractNumId w:val="5"/>
  </w:num>
  <w:num w:numId="6" w16cid:durableId="1162429705">
    <w:abstractNumId w:val="7"/>
  </w:num>
  <w:num w:numId="7" w16cid:durableId="690111989">
    <w:abstractNumId w:val="2"/>
  </w:num>
  <w:num w:numId="8" w16cid:durableId="1041899749">
    <w:abstractNumId w:val="13"/>
  </w:num>
  <w:num w:numId="9" w16cid:durableId="1026907459">
    <w:abstractNumId w:val="8"/>
    <w:lvlOverride w:ilvl="0">
      <w:lvl w:ilvl="0">
        <w:start w:val="1"/>
        <w:numFmt w:val="decimal"/>
        <w:lvlText w:val="%1."/>
        <w:lvlJc w:val="left"/>
        <w:pPr>
          <w:ind w:left="1134" w:hanging="1134"/>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1134" w:hanging="113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ind w:left="1134" w:hanging="113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tabs>
            <w:tab w:val="left" w:pos="4621"/>
          </w:tabs>
          <w:ind w:left="1531" w:hanging="397"/>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tabs>
            <w:tab w:val="left" w:pos="4621"/>
          </w:tabs>
          <w:ind w:left="2129"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lvlText w:val="%7."/>
        <w:lvlJc w:val="left"/>
        <w:pPr>
          <w:tabs>
            <w:tab w:val="left" w:pos="4621"/>
          </w:tabs>
          <w:ind w:left="2980"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8."/>
        <w:lvlJc w:val="left"/>
        <w:pPr>
          <w:tabs>
            <w:tab w:val="left" w:pos="4621"/>
          </w:tabs>
          <w:ind w:left="3549"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9."/>
        <w:lvlJc w:val="left"/>
        <w:pPr>
          <w:tabs>
            <w:tab w:val="left" w:pos="4621"/>
          </w:tabs>
          <w:ind w:left="4015"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16cid:durableId="1931696864">
    <w:abstractNumId w:val="8"/>
    <w:lvlOverride w:ilvl="0">
      <w:lvl w:ilvl="0">
        <w:start w:val="1"/>
        <w:numFmt w:val="decimal"/>
        <w:lvlText w:val="%1."/>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ind w:left="1674" w:hanging="397"/>
        </w:pPr>
        <w:rPr>
          <w:rFonts w:ascii="Arial" w:eastAsiaTheme="minorHAnsi" w:hAnsi="Arial" w:cs="Arial"/>
          <w:b w:val="0"/>
          <w:bCs w:val="0"/>
          <w:i w:val="0"/>
          <w:iCs w:val="0"/>
          <w:caps w:val="0"/>
          <w:smallCaps w:val="0"/>
          <w:strike w:val="0"/>
          <w:dstrike w:val="0"/>
          <w:outline w:val="0"/>
          <w:emboss w:val="0"/>
          <w:imprint w:val="0"/>
          <w:spacing w:val="0"/>
          <w:w w:val="100"/>
          <w:kern w:val="0"/>
          <w:position w:val="0"/>
          <w:sz w:val="20"/>
          <w:szCs w:val="24"/>
          <w:highlight w:val="none"/>
          <w:vertAlign w:val="baseline"/>
        </w:rPr>
      </w:lvl>
    </w:lvlOverride>
    <w:lvlOverride w:ilvl="5">
      <w:lvl w:ilvl="5">
        <w:start w:val="1"/>
        <w:numFmt w:val="lowerRoman"/>
        <w:lvlText w:val="%6."/>
        <w:lvlJc w:val="left"/>
        <w:pPr>
          <w:ind w:left="2272"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lvlText w:val="%7."/>
        <w:lvlJc w:val="left"/>
        <w:pPr>
          <w:ind w:left="3123"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8."/>
        <w:lvlJc w:val="left"/>
        <w:pPr>
          <w:ind w:left="3692"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9."/>
        <w:lvlJc w:val="left"/>
        <w:pPr>
          <w:ind w:left="4179"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16cid:durableId="2051148042">
    <w:abstractNumId w:val="1"/>
  </w:num>
  <w:num w:numId="12" w16cid:durableId="44567778">
    <w:abstractNumId w:val="8"/>
    <w:lvlOverride w:ilvl="0">
      <w:lvl w:ilvl="0">
        <w:start w:val="1"/>
        <w:numFmt w:val="decimal"/>
        <w:lvlText w:val="%1."/>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ind w:left="1134" w:hanging="1134"/>
        </w:pPr>
        <w:rPr>
          <w:rFonts w:ascii="Cambria" w:eastAsia="Cambria" w:hAnsi="Cambria" w:cs="Cambri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tabs>
            <w:tab w:val="left" w:pos="4621"/>
          </w:tabs>
          <w:ind w:left="2127" w:hanging="397"/>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tabs>
            <w:tab w:val="left" w:pos="4621"/>
          </w:tabs>
          <w:ind w:left="2725"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lvlText w:val="%7."/>
        <w:lvlJc w:val="left"/>
        <w:pPr>
          <w:tabs>
            <w:tab w:val="left" w:pos="4621"/>
          </w:tabs>
          <w:ind w:left="3576"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8."/>
        <w:lvlJc w:val="left"/>
        <w:pPr>
          <w:tabs>
            <w:tab w:val="left" w:pos="4621"/>
          </w:tabs>
          <w:ind w:left="4145"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9."/>
        <w:lvlJc w:val="left"/>
        <w:pPr>
          <w:ind w:left="4697"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16cid:durableId="1941721317">
    <w:abstractNumId w:val="12"/>
  </w:num>
  <w:num w:numId="14" w16cid:durableId="719090200">
    <w:abstractNumId w:val="15"/>
  </w:num>
  <w:num w:numId="15" w16cid:durableId="35087047">
    <w:abstractNumId w:val="14"/>
  </w:num>
  <w:num w:numId="16" w16cid:durableId="949362323">
    <w:abstractNumId w:val="10"/>
  </w:num>
  <w:num w:numId="17" w16cid:durableId="2084789712">
    <w:abstractNumId w:val="15"/>
  </w:num>
  <w:num w:numId="18" w16cid:durableId="2034306612">
    <w:abstractNumId w:val="3"/>
  </w:num>
  <w:num w:numId="19" w16cid:durableId="1239317470">
    <w:abstractNumId w:val="4"/>
  </w:num>
  <w:num w:numId="20" w16cid:durableId="777680457">
    <w:abstractNumId w:val="0"/>
  </w:num>
  <w:num w:numId="21" w16cid:durableId="2033991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75"/>
    <w:rsid w:val="00043D36"/>
    <w:rsid w:val="000D3370"/>
    <w:rsid w:val="000D5D38"/>
    <w:rsid w:val="00110828"/>
    <w:rsid w:val="00124922"/>
    <w:rsid w:val="00144C60"/>
    <w:rsid w:val="00145F35"/>
    <w:rsid w:val="00146129"/>
    <w:rsid w:val="00160D7B"/>
    <w:rsid w:val="001737E6"/>
    <w:rsid w:val="001E4800"/>
    <w:rsid w:val="001F7D34"/>
    <w:rsid w:val="00277A41"/>
    <w:rsid w:val="002B255B"/>
    <w:rsid w:val="002C02CB"/>
    <w:rsid w:val="002C70B9"/>
    <w:rsid w:val="002E73E1"/>
    <w:rsid w:val="00314942"/>
    <w:rsid w:val="00314F58"/>
    <w:rsid w:val="003903D5"/>
    <w:rsid w:val="003C26DE"/>
    <w:rsid w:val="003D79F0"/>
    <w:rsid w:val="0041116D"/>
    <w:rsid w:val="00445F16"/>
    <w:rsid w:val="00461F6B"/>
    <w:rsid w:val="004E2A4B"/>
    <w:rsid w:val="005140F7"/>
    <w:rsid w:val="00523F5B"/>
    <w:rsid w:val="005277BA"/>
    <w:rsid w:val="00553BCE"/>
    <w:rsid w:val="005547A8"/>
    <w:rsid w:val="00581DC3"/>
    <w:rsid w:val="005847BD"/>
    <w:rsid w:val="00585891"/>
    <w:rsid w:val="00656C1A"/>
    <w:rsid w:val="00696648"/>
    <w:rsid w:val="006E6880"/>
    <w:rsid w:val="006E7751"/>
    <w:rsid w:val="00707D0C"/>
    <w:rsid w:val="00720BB4"/>
    <w:rsid w:val="007308A8"/>
    <w:rsid w:val="0079220E"/>
    <w:rsid w:val="007A2E80"/>
    <w:rsid w:val="007B2ED5"/>
    <w:rsid w:val="007F5A59"/>
    <w:rsid w:val="0084476D"/>
    <w:rsid w:val="00846675"/>
    <w:rsid w:val="008551E1"/>
    <w:rsid w:val="00856093"/>
    <w:rsid w:val="008567F5"/>
    <w:rsid w:val="00862298"/>
    <w:rsid w:val="00895890"/>
    <w:rsid w:val="00915C4B"/>
    <w:rsid w:val="009267D9"/>
    <w:rsid w:val="0093523B"/>
    <w:rsid w:val="00942DF9"/>
    <w:rsid w:val="00951E5F"/>
    <w:rsid w:val="00961599"/>
    <w:rsid w:val="00961894"/>
    <w:rsid w:val="0096315A"/>
    <w:rsid w:val="009A14F8"/>
    <w:rsid w:val="009C720C"/>
    <w:rsid w:val="00AB73B8"/>
    <w:rsid w:val="00AD6A31"/>
    <w:rsid w:val="00AE4C55"/>
    <w:rsid w:val="00B56BAD"/>
    <w:rsid w:val="00B81DE7"/>
    <w:rsid w:val="00B83B1F"/>
    <w:rsid w:val="00B96413"/>
    <w:rsid w:val="00BC3BD0"/>
    <w:rsid w:val="00C1655A"/>
    <w:rsid w:val="00C207ED"/>
    <w:rsid w:val="00C20966"/>
    <w:rsid w:val="00C41F61"/>
    <w:rsid w:val="00CB5DD0"/>
    <w:rsid w:val="00D06DBC"/>
    <w:rsid w:val="00D11A1D"/>
    <w:rsid w:val="00D17E4E"/>
    <w:rsid w:val="00D45C4E"/>
    <w:rsid w:val="00D45E83"/>
    <w:rsid w:val="00D52C0A"/>
    <w:rsid w:val="00D85989"/>
    <w:rsid w:val="00D93F2E"/>
    <w:rsid w:val="00DC094D"/>
    <w:rsid w:val="00DC521E"/>
    <w:rsid w:val="00DE7F18"/>
    <w:rsid w:val="00DF697E"/>
    <w:rsid w:val="00E200A0"/>
    <w:rsid w:val="00E21200"/>
    <w:rsid w:val="00E303CC"/>
    <w:rsid w:val="00E3546C"/>
    <w:rsid w:val="00E543B9"/>
    <w:rsid w:val="00E57D66"/>
    <w:rsid w:val="00F21FFB"/>
    <w:rsid w:val="00F22DF6"/>
    <w:rsid w:val="00F33D5D"/>
    <w:rsid w:val="00F37141"/>
    <w:rsid w:val="00F730D1"/>
    <w:rsid w:val="00F771E7"/>
    <w:rsid w:val="00F8438E"/>
    <w:rsid w:val="00F84B50"/>
    <w:rsid w:val="00FF0393"/>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7154"/>
  <w15:chartTrackingRefBased/>
  <w15:docId w15:val="{B1A5A42E-B0EC-4C6B-A48C-96B6EA6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75"/>
    <w:pPr>
      <w:tabs>
        <w:tab w:val="left" w:pos="1515"/>
      </w:tabs>
      <w:spacing w:after="0" w:line="240" w:lineRule="auto"/>
    </w:pPr>
    <w:rPr>
      <w:rFonts w:ascii="Arial" w:hAnsi="Arial"/>
      <w:sz w:val="20"/>
      <w:szCs w:val="20"/>
    </w:rPr>
  </w:style>
  <w:style w:type="paragraph" w:styleId="Ttulo1">
    <w:name w:val="heading 1"/>
    <w:basedOn w:val="Title1"/>
    <w:next w:val="Normal"/>
    <w:link w:val="Ttulo1Car"/>
    <w:uiPriority w:val="9"/>
    <w:qFormat/>
    <w:rsid w:val="00846675"/>
    <w:pPr>
      <w:keepNext/>
      <w:spacing w:after="120"/>
      <w:ind w:left="510" w:hanging="510"/>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6675"/>
    <w:rPr>
      <w:rFonts w:ascii="Arial" w:hAnsi="Arial"/>
      <w:b/>
      <w:sz w:val="20"/>
      <w:szCs w:val="20"/>
    </w:rPr>
  </w:style>
  <w:style w:type="character" w:styleId="Textodelmarcadordeposicin">
    <w:name w:val="Placeholder Text"/>
    <w:basedOn w:val="Fuentedeprrafopredeter"/>
    <w:uiPriority w:val="99"/>
    <w:semiHidden/>
    <w:rsid w:val="00846675"/>
    <w:rPr>
      <w:color w:val="808080"/>
    </w:rPr>
  </w:style>
  <w:style w:type="paragraph" w:styleId="Prrafodelista">
    <w:name w:val="List Paragraph"/>
    <w:basedOn w:val="Normal"/>
    <w:link w:val="PrrafodelistaCar"/>
    <w:uiPriority w:val="34"/>
    <w:qFormat/>
    <w:rsid w:val="00846675"/>
    <w:pPr>
      <w:numPr>
        <w:numId w:val="2"/>
      </w:numPr>
      <w:contextualSpacing/>
    </w:pPr>
  </w:style>
  <w:style w:type="paragraph" w:customStyle="1" w:styleId="Title1">
    <w:name w:val="Title 1"/>
    <w:basedOn w:val="Prrafodelista"/>
    <w:rsid w:val="00846675"/>
    <w:pPr>
      <w:numPr>
        <w:numId w:val="1"/>
      </w:numPr>
      <w:ind w:left="357" w:hanging="357"/>
      <w:contextualSpacing w:val="0"/>
    </w:pPr>
    <w:rPr>
      <w:b/>
    </w:rPr>
  </w:style>
  <w:style w:type="paragraph" w:customStyle="1" w:styleId="Title2">
    <w:name w:val="Title 2"/>
    <w:basedOn w:val="Prrafodelista"/>
    <w:rsid w:val="00846675"/>
    <w:pPr>
      <w:numPr>
        <w:ilvl w:val="1"/>
        <w:numId w:val="1"/>
      </w:numPr>
      <w:tabs>
        <w:tab w:val="left" w:pos="709"/>
      </w:tabs>
      <w:ind w:left="788" w:hanging="431"/>
      <w:contextualSpacing w:val="0"/>
    </w:pPr>
    <w:rPr>
      <w:b/>
      <w:sz w:val="21"/>
    </w:rPr>
  </w:style>
  <w:style w:type="paragraph" w:styleId="Listaconnmeros">
    <w:name w:val="List Number"/>
    <w:basedOn w:val="Normal"/>
    <w:uiPriority w:val="99"/>
    <w:unhideWhenUsed/>
    <w:qFormat/>
    <w:rsid w:val="00846675"/>
    <w:pPr>
      <w:numPr>
        <w:numId w:val="3"/>
      </w:numPr>
      <w:contextualSpacing/>
    </w:pPr>
  </w:style>
  <w:style w:type="character" w:styleId="Nmerodelnea">
    <w:name w:val="line number"/>
    <w:basedOn w:val="Fuentedeprrafopredeter"/>
    <w:uiPriority w:val="99"/>
    <w:semiHidden/>
    <w:unhideWhenUsed/>
    <w:rsid w:val="00846675"/>
  </w:style>
  <w:style w:type="paragraph" w:styleId="Encabezado">
    <w:name w:val="header"/>
    <w:basedOn w:val="Normal"/>
    <w:link w:val="EncabezadoCar"/>
    <w:uiPriority w:val="99"/>
    <w:unhideWhenUsed/>
    <w:rsid w:val="00846675"/>
    <w:pPr>
      <w:tabs>
        <w:tab w:val="clear" w:pos="1515"/>
        <w:tab w:val="center" w:pos="4513"/>
        <w:tab w:val="right" w:pos="9026"/>
      </w:tabs>
    </w:pPr>
  </w:style>
  <w:style w:type="character" w:customStyle="1" w:styleId="EncabezadoCar">
    <w:name w:val="Encabezado Car"/>
    <w:basedOn w:val="Fuentedeprrafopredeter"/>
    <w:link w:val="Encabezado"/>
    <w:uiPriority w:val="99"/>
    <w:rsid w:val="00846675"/>
    <w:rPr>
      <w:rFonts w:ascii="Arial" w:hAnsi="Arial"/>
      <w:sz w:val="20"/>
      <w:szCs w:val="20"/>
    </w:rPr>
  </w:style>
  <w:style w:type="paragraph" w:styleId="Piedepgina">
    <w:name w:val="footer"/>
    <w:basedOn w:val="Normal"/>
    <w:link w:val="PiedepginaCar"/>
    <w:uiPriority w:val="99"/>
    <w:unhideWhenUsed/>
    <w:rsid w:val="00846675"/>
    <w:pPr>
      <w:tabs>
        <w:tab w:val="clear" w:pos="1515"/>
        <w:tab w:val="center" w:pos="4513"/>
        <w:tab w:val="right" w:pos="9026"/>
      </w:tabs>
    </w:pPr>
  </w:style>
  <w:style w:type="character" w:customStyle="1" w:styleId="PiedepginaCar">
    <w:name w:val="Pie de página Car"/>
    <w:basedOn w:val="Fuentedeprrafopredeter"/>
    <w:link w:val="Piedepgina"/>
    <w:uiPriority w:val="99"/>
    <w:rsid w:val="00846675"/>
    <w:rPr>
      <w:rFonts w:ascii="Arial" w:hAnsi="Arial"/>
      <w:sz w:val="20"/>
      <w:szCs w:val="20"/>
    </w:rPr>
  </w:style>
  <w:style w:type="table" w:styleId="Tablaconcuadrcula">
    <w:name w:val="Table Grid"/>
    <w:basedOn w:val="Tablanormal"/>
    <w:uiPriority w:val="39"/>
    <w:rsid w:val="0084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CR">
    <w:name w:val="FCR"/>
    <w:rsid w:val="00461F6B"/>
    <w:pPr>
      <w:numPr>
        <w:numId w:val="8"/>
      </w:numPr>
    </w:pPr>
  </w:style>
  <w:style w:type="character" w:customStyle="1" w:styleId="None">
    <w:name w:val="None"/>
    <w:rsid w:val="00461F6B"/>
  </w:style>
  <w:style w:type="character" w:customStyle="1" w:styleId="PrrafodelistaCar">
    <w:name w:val="Párrafo de lista Car"/>
    <w:basedOn w:val="Fuentedeprrafopredeter"/>
    <w:link w:val="Prrafodelista"/>
    <w:uiPriority w:val="34"/>
    <w:rsid w:val="00461F6B"/>
    <w:rPr>
      <w:rFonts w:ascii="Arial" w:hAnsi="Arial"/>
      <w:sz w:val="20"/>
      <w:szCs w:val="20"/>
    </w:rPr>
  </w:style>
  <w:style w:type="table" w:customStyle="1" w:styleId="TableNormal">
    <w:name w:val="Table Normal"/>
    <w:rsid w:val="00B56B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C" w:eastAsia="es-MX"/>
    </w:rPr>
    <w:tblPr>
      <w:tblInd w:w="0" w:type="dxa"/>
      <w:tblCellMar>
        <w:top w:w="0" w:type="dxa"/>
        <w:left w:w="0" w:type="dxa"/>
        <w:bottom w:w="0" w:type="dxa"/>
        <w:right w:w="0" w:type="dxa"/>
      </w:tblCellMar>
    </w:tblPr>
  </w:style>
  <w:style w:type="character" w:customStyle="1" w:styleId="NoneA">
    <w:name w:val="None A"/>
    <w:rsid w:val="00B56BAD"/>
    <w:rPr>
      <w:lang w:val="en-US"/>
    </w:rPr>
  </w:style>
  <w:style w:type="paragraph" w:customStyle="1" w:styleId="Body">
    <w:name w:val="Body"/>
    <w:rsid w:val="00B56BAD"/>
    <w:pPr>
      <w:pBdr>
        <w:top w:val="nil"/>
        <w:left w:val="nil"/>
        <w:bottom w:val="nil"/>
        <w:right w:val="nil"/>
        <w:between w:val="nil"/>
        <w:bar w:val="nil"/>
      </w:pBdr>
      <w:tabs>
        <w:tab w:val="left" w:pos="1515"/>
      </w:tabs>
      <w:spacing w:after="0" w:line="240" w:lineRule="auto"/>
    </w:pPr>
    <w:rPr>
      <w:rFonts w:ascii="Arial" w:eastAsia="Arial" w:hAnsi="Arial" w:cs="Arial"/>
      <w:color w:val="000000"/>
      <w:sz w:val="20"/>
      <w:szCs w:val="20"/>
      <w:u w:color="000000"/>
      <w:bdr w:val="nil"/>
      <w:lang w:val="es-EC" w:eastAsia="es-MX"/>
      <w14:textOutline w14:w="0" w14:cap="flat" w14:cmpd="sng" w14:algn="ctr">
        <w14:noFill/>
        <w14:prstDash w14:val="solid"/>
        <w14:bevel/>
      </w14:textOutline>
    </w:rPr>
  </w:style>
  <w:style w:type="numbering" w:customStyle="1" w:styleId="ImportedStyle3">
    <w:name w:val="Imported Style 3"/>
    <w:rsid w:val="00B56BA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9FACB58242BB44A919271F000DD7570" ma:contentTypeVersion="15" ma:contentTypeDescription="Crear nuevo documento." ma:contentTypeScope="" ma:versionID="21591c867a6b7bc5714c3ea86bedcf05">
  <xsd:schema xmlns:xsd="http://www.w3.org/2001/XMLSchema" xmlns:xs="http://www.w3.org/2001/XMLSchema" xmlns:p="http://schemas.microsoft.com/office/2006/metadata/properties" xmlns:ns2="0a120e48-acc5-4211-942f-80255345c8ba" xmlns:ns3="6cd45ae4-7cd8-4bac-8b98-0fdbe6ad7ecb" targetNamespace="http://schemas.microsoft.com/office/2006/metadata/properties" ma:root="true" ma:fieldsID="782ac80c47245c5a53645c41d6325fef" ns2:_="" ns3:_="">
    <xsd:import namespace="0a120e48-acc5-4211-942f-80255345c8ba"/>
    <xsd:import namespace="6cd45ae4-7cd8-4bac-8b98-0fdbe6ad7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20e48-acc5-4211-942f-80255345c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5389e98-caee-41f9-a330-e6acc3ec2b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45ae4-7cd8-4bac-8b98-0fdbe6ad7ec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2843cb7b-82ea-4fb4-b6fd-694915d38af2}" ma:internalName="TaxCatchAll" ma:showField="CatchAllData" ma:web="6cd45ae4-7cd8-4bac-8b98-0fdbe6ad7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d45ae4-7cd8-4bac-8b98-0fdbe6ad7ecb" xsi:nil="true"/>
    <lcf76f155ced4ddcb4097134ff3c332f xmlns="0a120e48-acc5-4211-942f-80255345c8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E7F2-D679-4215-9C15-3A92A93604A0}">
  <ds:schemaRefs>
    <ds:schemaRef ds:uri="http://schemas.microsoft.com/sharepoint/v3/contenttype/forms"/>
  </ds:schemaRefs>
</ds:datastoreItem>
</file>

<file path=customXml/itemProps2.xml><?xml version="1.0" encoding="utf-8"?>
<ds:datastoreItem xmlns:ds="http://schemas.openxmlformats.org/officeDocument/2006/customXml" ds:itemID="{57373A29-1AAB-4591-9A38-89003298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20e48-acc5-4211-942f-80255345c8ba"/>
    <ds:schemaRef ds:uri="6cd45ae4-7cd8-4bac-8b98-0fdbe6ad7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06286-DCA2-4177-8AC2-382CA29B3481}">
  <ds:schemaRefs>
    <ds:schemaRef ds:uri="http://schemas.microsoft.com/office/2006/metadata/properties"/>
    <ds:schemaRef ds:uri="http://schemas.microsoft.com/office/infopath/2007/PartnerControls"/>
    <ds:schemaRef ds:uri="6cd45ae4-7cd8-4bac-8b98-0fdbe6ad7ecb"/>
    <ds:schemaRef ds:uri="0a120e48-acc5-4211-942f-80255345c8ba"/>
  </ds:schemaRefs>
</ds:datastoreItem>
</file>

<file path=customXml/itemProps4.xml><?xml version="1.0" encoding="utf-8"?>
<ds:datastoreItem xmlns:ds="http://schemas.openxmlformats.org/officeDocument/2006/customXml" ds:itemID="{AA7BA12E-7306-4E51-94ED-E0E90AD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2027</Words>
  <Characters>11153</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ASC</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Keshavarz</dc:creator>
  <cp:keywords/>
  <dc:description/>
  <cp:lastModifiedBy>Efrain Calderon</cp:lastModifiedBy>
  <cp:revision>4</cp:revision>
  <dcterms:created xsi:type="dcterms:W3CDTF">2022-07-12T16:13:00Z</dcterms:created>
  <dcterms:modified xsi:type="dcterms:W3CDTF">2022-07-12T16:26:00Z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0x010100F9FACB58242BB44A919271F000DD7570</vt:lpwstr>
  </property>
  <property fmtid="{D5CDD505-2E9C-101B-9397-08002B2CF9AE}" pid="3" name="Order">
    <vt:r8>1360400</vt:r8>
  </property>
</Properties>
</file>